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7749" w14:textId="77777777" w:rsidR="00791812" w:rsidRPr="00572EB9" w:rsidRDefault="00791812" w:rsidP="00F24199">
      <w:pPr>
        <w:jc w:val="center"/>
        <w:rPr>
          <w:b/>
          <w:bCs/>
          <w:sz w:val="32"/>
          <w:szCs w:val="32"/>
        </w:rPr>
      </w:pPr>
      <w:r w:rsidRPr="00572EB9">
        <w:rPr>
          <w:b/>
          <w:bCs/>
          <w:sz w:val="32"/>
          <w:szCs w:val="32"/>
        </w:rPr>
        <w:t>Vertrag</w:t>
      </w:r>
    </w:p>
    <w:p w14:paraId="41E142FE" w14:textId="77777777" w:rsidR="00437856" w:rsidRDefault="00437856" w:rsidP="00F24199">
      <w:pPr>
        <w:jc w:val="center"/>
        <w:rPr>
          <w:sz w:val="28"/>
          <w:szCs w:val="28"/>
        </w:rPr>
      </w:pPr>
    </w:p>
    <w:p w14:paraId="0F53E884" w14:textId="65B73E63" w:rsidR="00791812" w:rsidRPr="00437856" w:rsidRDefault="00791812" w:rsidP="00F24199">
      <w:pPr>
        <w:jc w:val="center"/>
        <w:rPr>
          <w:sz w:val="28"/>
          <w:szCs w:val="28"/>
        </w:rPr>
      </w:pPr>
      <w:r w:rsidRPr="00437856">
        <w:rPr>
          <w:sz w:val="28"/>
          <w:szCs w:val="28"/>
        </w:rPr>
        <w:t>zwischen</w:t>
      </w:r>
    </w:p>
    <w:p w14:paraId="4F7BAE5F" w14:textId="77777777" w:rsidR="00437856" w:rsidRDefault="00437856" w:rsidP="00F24199">
      <w:pPr>
        <w:jc w:val="center"/>
        <w:rPr>
          <w:sz w:val="28"/>
          <w:szCs w:val="28"/>
        </w:rPr>
      </w:pPr>
    </w:p>
    <w:p w14:paraId="210BBDE3" w14:textId="79D3DABE" w:rsidR="00791812" w:rsidRPr="00437856" w:rsidRDefault="00791812" w:rsidP="00F24199">
      <w:pPr>
        <w:jc w:val="center"/>
        <w:rPr>
          <w:sz w:val="28"/>
          <w:szCs w:val="28"/>
        </w:rPr>
      </w:pPr>
      <w:r w:rsidRPr="00437856">
        <w:rPr>
          <w:sz w:val="28"/>
          <w:szCs w:val="28"/>
        </w:rPr>
        <w:t>[Netzbetreiber]</w:t>
      </w:r>
    </w:p>
    <w:p w14:paraId="5A806E34" w14:textId="77777777" w:rsidR="00791812" w:rsidRPr="00437856" w:rsidRDefault="00791812" w:rsidP="00F24199">
      <w:pPr>
        <w:jc w:val="center"/>
        <w:rPr>
          <w:sz w:val="28"/>
          <w:szCs w:val="28"/>
        </w:rPr>
      </w:pPr>
      <w:r w:rsidRPr="00437856">
        <w:rPr>
          <w:sz w:val="28"/>
          <w:szCs w:val="28"/>
        </w:rPr>
        <w:t>– im Folgenden „Netzbetreiber“ genannt –</w:t>
      </w:r>
    </w:p>
    <w:p w14:paraId="052E0EB2" w14:textId="77777777" w:rsidR="00437856" w:rsidRDefault="00437856" w:rsidP="00F24199">
      <w:pPr>
        <w:jc w:val="center"/>
        <w:rPr>
          <w:sz w:val="28"/>
          <w:szCs w:val="28"/>
        </w:rPr>
      </w:pPr>
    </w:p>
    <w:p w14:paraId="0C109856" w14:textId="56DD5C62" w:rsidR="00791812" w:rsidRPr="00437856" w:rsidRDefault="00791812" w:rsidP="00F24199">
      <w:pPr>
        <w:jc w:val="center"/>
        <w:rPr>
          <w:sz w:val="28"/>
          <w:szCs w:val="28"/>
        </w:rPr>
      </w:pPr>
      <w:r w:rsidRPr="00437856">
        <w:rPr>
          <w:sz w:val="28"/>
          <w:szCs w:val="28"/>
        </w:rPr>
        <w:t>und</w:t>
      </w:r>
    </w:p>
    <w:p w14:paraId="541F14C0" w14:textId="77777777" w:rsidR="00437856" w:rsidRDefault="00437856" w:rsidP="00F24199">
      <w:pPr>
        <w:jc w:val="center"/>
        <w:rPr>
          <w:sz w:val="28"/>
          <w:szCs w:val="28"/>
        </w:rPr>
      </w:pPr>
    </w:p>
    <w:p w14:paraId="73B0CDBE" w14:textId="52F67624" w:rsidR="00791812" w:rsidRPr="00437856" w:rsidRDefault="00791812" w:rsidP="00F24199">
      <w:pPr>
        <w:jc w:val="center"/>
        <w:rPr>
          <w:sz w:val="28"/>
          <w:szCs w:val="28"/>
        </w:rPr>
      </w:pPr>
      <w:r w:rsidRPr="00437856">
        <w:rPr>
          <w:sz w:val="28"/>
          <w:szCs w:val="28"/>
        </w:rPr>
        <w:t>[Speicherbetreiber]</w:t>
      </w:r>
    </w:p>
    <w:p w14:paraId="60D1DC32" w14:textId="77777777" w:rsidR="00791812" w:rsidRDefault="00791812" w:rsidP="00F24199">
      <w:pPr>
        <w:jc w:val="center"/>
        <w:rPr>
          <w:sz w:val="28"/>
          <w:szCs w:val="28"/>
        </w:rPr>
      </w:pPr>
      <w:r w:rsidRPr="00437856">
        <w:rPr>
          <w:sz w:val="28"/>
          <w:szCs w:val="28"/>
        </w:rPr>
        <w:t>– im Folgenden „Speicherbetreiber“ genannt –</w:t>
      </w:r>
    </w:p>
    <w:p w14:paraId="10F5AA4E" w14:textId="77777777" w:rsidR="00437856" w:rsidRPr="00437856" w:rsidRDefault="00437856" w:rsidP="00F24199">
      <w:pPr>
        <w:jc w:val="center"/>
        <w:rPr>
          <w:sz w:val="28"/>
          <w:szCs w:val="28"/>
        </w:rPr>
      </w:pPr>
    </w:p>
    <w:p w14:paraId="6DF952D6" w14:textId="77777777" w:rsidR="00791812" w:rsidRPr="00437856" w:rsidRDefault="00791812" w:rsidP="00F24199">
      <w:pPr>
        <w:jc w:val="center"/>
        <w:rPr>
          <w:sz w:val="28"/>
          <w:szCs w:val="28"/>
        </w:rPr>
      </w:pPr>
      <w:r w:rsidRPr="00437856">
        <w:rPr>
          <w:sz w:val="28"/>
          <w:szCs w:val="28"/>
        </w:rPr>
        <w:t>– einzeln oder zusammen „Vertragspartner“ genannt –</w:t>
      </w:r>
    </w:p>
    <w:p w14:paraId="3102444A" w14:textId="77777777" w:rsidR="00791812" w:rsidRPr="00437856" w:rsidRDefault="00791812" w:rsidP="00F24199">
      <w:pPr>
        <w:jc w:val="both"/>
        <w:rPr>
          <w:sz w:val="28"/>
          <w:szCs w:val="28"/>
        </w:rPr>
      </w:pPr>
    </w:p>
    <w:p w14:paraId="5ED5D429" w14:textId="77777777" w:rsidR="00791812" w:rsidRDefault="00791812" w:rsidP="00F24199">
      <w:pPr>
        <w:jc w:val="both"/>
        <w:rPr>
          <w:sz w:val="28"/>
          <w:szCs w:val="28"/>
        </w:rPr>
      </w:pPr>
    </w:p>
    <w:p w14:paraId="1AC1C456" w14:textId="77777777" w:rsidR="00437856" w:rsidRPr="00437856" w:rsidRDefault="00437856" w:rsidP="00F24199">
      <w:pPr>
        <w:jc w:val="both"/>
        <w:rPr>
          <w:sz w:val="28"/>
          <w:szCs w:val="28"/>
        </w:rPr>
      </w:pPr>
    </w:p>
    <w:p w14:paraId="10EBD26F" w14:textId="4C124F6F" w:rsidR="00791812" w:rsidRPr="00437856" w:rsidRDefault="00791812" w:rsidP="00F24199">
      <w:pPr>
        <w:jc w:val="both"/>
        <w:rPr>
          <w:sz w:val="28"/>
          <w:szCs w:val="28"/>
        </w:rPr>
      </w:pPr>
      <w:r w:rsidRPr="00437856">
        <w:rPr>
          <w:sz w:val="28"/>
          <w:szCs w:val="28"/>
        </w:rPr>
        <w:t>über die Umsetzung der Ziffer 2 Satz 2 des Tenors des Beschlusses der Bundesnetzagentur hinsichtlich der regelmäßigen Entscheidung zur Referenzpreismethode sowie der weiteren in Art. 26 Abs. 1 der Verordnung (EU) Nr. 2017/460 genannten Punkte für alle Fernleitungsnetzbetreiber (Az. BK9-</w:t>
      </w:r>
      <w:r w:rsidR="00437856">
        <w:rPr>
          <w:sz w:val="28"/>
          <w:szCs w:val="28"/>
        </w:rPr>
        <w:t>23</w:t>
      </w:r>
      <w:r w:rsidRPr="00437856">
        <w:rPr>
          <w:sz w:val="28"/>
          <w:szCs w:val="28"/>
        </w:rPr>
        <w:t>/610 vom 1</w:t>
      </w:r>
      <w:r w:rsidR="00437856">
        <w:rPr>
          <w:sz w:val="28"/>
          <w:szCs w:val="28"/>
        </w:rPr>
        <w:t>4</w:t>
      </w:r>
      <w:r w:rsidRPr="00437856">
        <w:rPr>
          <w:sz w:val="28"/>
          <w:szCs w:val="28"/>
        </w:rPr>
        <w:t>.0</w:t>
      </w:r>
      <w:r w:rsidR="00437856">
        <w:rPr>
          <w:sz w:val="28"/>
          <w:szCs w:val="28"/>
        </w:rPr>
        <w:t>5</w:t>
      </w:r>
      <w:r w:rsidRPr="00437856">
        <w:rPr>
          <w:sz w:val="28"/>
          <w:szCs w:val="28"/>
        </w:rPr>
        <w:t>.202</w:t>
      </w:r>
      <w:r w:rsidR="00437856">
        <w:rPr>
          <w:sz w:val="28"/>
          <w:szCs w:val="28"/>
        </w:rPr>
        <w:t>5</w:t>
      </w:r>
      <w:r w:rsidRPr="00437856">
        <w:rPr>
          <w:sz w:val="28"/>
          <w:szCs w:val="28"/>
        </w:rPr>
        <w:t xml:space="preserve"> „REGENT 202</w:t>
      </w:r>
      <w:r w:rsidR="00437856">
        <w:rPr>
          <w:sz w:val="28"/>
          <w:szCs w:val="28"/>
        </w:rPr>
        <w:t>6</w:t>
      </w:r>
      <w:r w:rsidRPr="00437856">
        <w:rPr>
          <w:sz w:val="28"/>
          <w:szCs w:val="28"/>
        </w:rPr>
        <w:t>“)</w:t>
      </w:r>
    </w:p>
    <w:p w14:paraId="4394E7AC" w14:textId="77777777" w:rsidR="00791812" w:rsidRDefault="00791812" w:rsidP="00F24199">
      <w:pPr>
        <w:jc w:val="both"/>
      </w:pPr>
      <w:r>
        <w:br w:type="page"/>
      </w:r>
    </w:p>
    <w:p w14:paraId="42FD1AED" w14:textId="4C390C2D" w:rsidR="00791812" w:rsidRPr="00791812" w:rsidRDefault="00791812" w:rsidP="00F24199">
      <w:pPr>
        <w:jc w:val="both"/>
        <w:rPr>
          <w:b/>
          <w:bCs/>
        </w:rPr>
      </w:pPr>
      <w:r w:rsidRPr="00791812">
        <w:rPr>
          <w:b/>
          <w:bCs/>
        </w:rPr>
        <w:lastRenderedPageBreak/>
        <w:t>Präambel</w:t>
      </w:r>
    </w:p>
    <w:p w14:paraId="02FECF44" w14:textId="79ADEA43" w:rsidR="00791812" w:rsidRDefault="00791812" w:rsidP="00F24199">
      <w:pPr>
        <w:jc w:val="both"/>
      </w:pPr>
      <w:r>
        <w:t>Gemäß Ziffer 2 des Tenors von REGENT 202</w:t>
      </w:r>
      <w:r w:rsidR="00437856">
        <w:t xml:space="preserve">6 </w:t>
      </w:r>
      <w:r>
        <w:t xml:space="preserve">ist der Netzbetreiber verpflichtet, an Ein- und Ausspeisepunkten an Speicheranlagen ein rabattiertes Netzentgelt </w:t>
      </w:r>
      <w:r w:rsidR="00FC2D21">
        <w:t>anzubieten,</w:t>
      </w:r>
      <w:r>
        <w:t xml:space="preserve"> sofern und </w:t>
      </w:r>
      <w:proofErr w:type="gramStart"/>
      <w:r>
        <w:t>soweit</w:t>
      </w:r>
      <w:proofErr w:type="gramEnd"/>
      <w:r>
        <w:t xml:space="preserve"> eine Speicheranlage, die mit mehr als einem Fernleitungs- oder Verteilernetz verbunden ist, nicht als Alternative zu einem Kopplungspunkt genutzt wird. Die Nichtbenutzbarkeit der Speicheranlage mit rabattierten Kapazitäten als Alternative zu einem Kopplungspunkt hat sich der Netzbetreiber vom Speicherbetreiber gemäß Ziffer2 des Tenors von REGENT 202</w:t>
      </w:r>
      <w:r w:rsidR="00437856">
        <w:t>6</w:t>
      </w:r>
      <w:r>
        <w:t xml:space="preserve"> nachweisen zu lassen.</w:t>
      </w:r>
    </w:p>
    <w:p w14:paraId="4300474C" w14:textId="0FDF4EA1" w:rsidR="00791812" w:rsidRDefault="00437856" w:rsidP="00F24199">
      <w:pPr>
        <w:jc w:val="both"/>
      </w:pPr>
      <w:r w:rsidRPr="00437856">
        <w:t xml:space="preserve">Gemäß Art. 27 Abs. </w:t>
      </w:r>
      <w:proofErr w:type="gramStart"/>
      <w:r w:rsidRPr="00437856">
        <w:t>5</w:t>
      </w:r>
      <w:proofErr w:type="gramEnd"/>
      <w:r w:rsidRPr="00437856">
        <w:t xml:space="preserve"> S. 4 der Verordnung (EU) 2017/460 ist das Verfahren gemäß Art. 26 und 27 der Verordnung (EU) 2017/460 einschließlich der Berechnung und Veröffentlichung der Entgelte mindestens alle fünf Jahre zu wiederholen. Die Festlegung BK9-19/610 vom 11.09.2020 („REGENT 2021“) gilt für den Zeitraum 01.01.2021 bis 31.12.2025. Die Folgefestlegung REGENT 2026 tritt ab dem 01.01.2026 in Kraft und gilt bis zum 31.12.2030.</w:t>
      </w:r>
    </w:p>
    <w:p w14:paraId="7CBC1074" w14:textId="2AEDA0D3" w:rsidR="00791812" w:rsidRDefault="00791812" w:rsidP="00F24199">
      <w:pPr>
        <w:jc w:val="both"/>
      </w:pPr>
      <w:r>
        <w:t xml:space="preserve">Der Speicherbetreiber betreibt [einen oder mehrere] </w:t>
      </w:r>
      <w:r w:rsidR="00437856">
        <w:t xml:space="preserve">in Anlage 1 definierte </w:t>
      </w:r>
      <w:r>
        <w:t>Speicheranlagen, [der/die] an das Netz des Netzbetreibers angeschlossen [ist/sind] und darüber hinaus den Speicherkunden einen Zugang zum Markt eines Nachbarstaates ermöglich[t/en].</w:t>
      </w:r>
    </w:p>
    <w:p w14:paraId="55D02B99" w14:textId="3B98BB05" w:rsidR="00791812" w:rsidRDefault="00791812" w:rsidP="00F24199">
      <w:pPr>
        <w:jc w:val="both"/>
      </w:pPr>
      <w:r>
        <w:t>Die Vertragspartner haben am [</w:t>
      </w:r>
      <w:proofErr w:type="spellStart"/>
      <w:r>
        <w:t>xx.</w:t>
      </w:r>
      <w:proofErr w:type="gramStart"/>
      <w:r>
        <w:t>xx.xxxx</w:t>
      </w:r>
      <w:proofErr w:type="spellEnd"/>
      <w:proofErr w:type="gramEnd"/>
      <w:r>
        <w:t xml:space="preserve">] einen Vertrag zur Umsetzung der Festlegung REGENT </w:t>
      </w:r>
      <w:r w:rsidR="00437856">
        <w:t xml:space="preserve">2021 </w:t>
      </w:r>
      <w:r>
        <w:t>geschlossen, der durch diesen Vertrag mit Wirkung zum 01.</w:t>
      </w:r>
      <w:r w:rsidR="00437856">
        <w:t>0</w:t>
      </w:r>
      <w:r>
        <w:t>1.202</w:t>
      </w:r>
      <w:r w:rsidR="00437856">
        <w:t>6</w:t>
      </w:r>
      <w:r>
        <w:t xml:space="preserve"> ersetzt wird.</w:t>
      </w:r>
    </w:p>
    <w:p w14:paraId="2E25775B" w14:textId="007FB612" w:rsidR="00791812" w:rsidRDefault="00791812" w:rsidP="00F24199">
      <w:pPr>
        <w:jc w:val="both"/>
      </w:pPr>
      <w:r>
        <w:t>Im Hinblick auf das Vorstehende vereinbaren die Vertragspartner Folgendes:</w:t>
      </w:r>
    </w:p>
    <w:p w14:paraId="0DF0A2D3" w14:textId="77777777" w:rsidR="00791812" w:rsidRDefault="00791812" w:rsidP="00F24199">
      <w:pPr>
        <w:jc w:val="both"/>
      </w:pPr>
    </w:p>
    <w:p w14:paraId="6E60B1AD" w14:textId="40C4E6CA" w:rsidR="00791812" w:rsidRPr="00791812" w:rsidRDefault="00791812" w:rsidP="00F24199">
      <w:pPr>
        <w:ind w:left="567" w:hanging="567"/>
        <w:jc w:val="both"/>
        <w:rPr>
          <w:b/>
          <w:bCs/>
        </w:rPr>
      </w:pPr>
      <w:r w:rsidRPr="00791812">
        <w:rPr>
          <w:b/>
          <w:bCs/>
        </w:rPr>
        <w:t>§ 1</w:t>
      </w:r>
      <w:r w:rsidR="00F2787D">
        <w:rPr>
          <w:b/>
          <w:bCs/>
        </w:rPr>
        <w:tab/>
      </w:r>
      <w:r w:rsidRPr="00791812">
        <w:rPr>
          <w:b/>
          <w:bCs/>
        </w:rPr>
        <w:t>Einrichtung von Rabatt- und Nicht-Rabattkonten</w:t>
      </w:r>
    </w:p>
    <w:p w14:paraId="594F699C" w14:textId="0FF392EC" w:rsidR="00791812" w:rsidRDefault="00791812" w:rsidP="00F24199">
      <w:pPr>
        <w:pStyle w:val="Listenabsatz"/>
        <w:numPr>
          <w:ilvl w:val="0"/>
          <w:numId w:val="9"/>
        </w:numPr>
        <w:ind w:left="567" w:hanging="567"/>
        <w:contextualSpacing w:val="0"/>
        <w:jc w:val="both"/>
      </w:pPr>
      <w:r>
        <w:t xml:space="preserve">Der Speicherbetreiber verpflichtet sich in Bezug auf jede in Anlage 1 bezeichnete Speicheranlage, für jeden Speicherkunden, für das vom Speicherkunden genutzte Marktgebiet </w:t>
      </w:r>
      <w:r w:rsidR="002E4335">
        <w:t>Trading Hub Europe („</w:t>
      </w:r>
      <w:r>
        <w:t>THE</w:t>
      </w:r>
      <w:r w:rsidR="002E4335">
        <w:t>“)</w:t>
      </w:r>
      <w:r>
        <w:t xml:space="preserve"> und/oder die jeweils vom Speicherkunden genutzten angeschlossenen Märkte des Nachbarstaates getrennt mindestens jeweils ein Konto zu führen, auf das die Gasmengen gebucht werden, die</w:t>
      </w:r>
    </w:p>
    <w:p w14:paraId="6F2891BC" w14:textId="0E7AE4C7" w:rsidR="00791812" w:rsidRDefault="00791812" w:rsidP="00F24199">
      <w:pPr>
        <w:pStyle w:val="Listenabsatz"/>
        <w:numPr>
          <w:ilvl w:val="0"/>
          <w:numId w:val="5"/>
        </w:numPr>
        <w:ind w:left="992" w:hanging="425"/>
        <w:contextualSpacing w:val="0"/>
        <w:jc w:val="both"/>
      </w:pPr>
      <w:r>
        <w:t>unter Nutzung von Aus- oder Einspeisekapazität des Netzbetreibers am Speicheranschlusspunkt, die mit einem rabattierten Entgelt gemäß den Vorgaben der Ziffer 2 Satz 1 des Tenors von REGENT 202</w:t>
      </w:r>
      <w:r w:rsidR="00437856">
        <w:t>6</w:t>
      </w:r>
      <w:r>
        <w:t xml:space="preserve"> bepreist ist (nachfolgend „rabattierte Kapazität“), in die Speicheranlage ein- und ausgespeichert</w:t>
      </w:r>
      <w:r w:rsidR="00F2787D">
        <w:t xml:space="preserve"> </w:t>
      </w:r>
      <w:r>
        <w:t>werden (nachfolgend „Rabattkonto“) und</w:t>
      </w:r>
    </w:p>
    <w:p w14:paraId="7A146841" w14:textId="37A38C89" w:rsidR="00791812" w:rsidRDefault="00791812" w:rsidP="00F24199">
      <w:pPr>
        <w:pStyle w:val="Listenabsatz"/>
        <w:numPr>
          <w:ilvl w:val="0"/>
          <w:numId w:val="5"/>
        </w:numPr>
        <w:ind w:left="993" w:hanging="426"/>
        <w:jc w:val="both"/>
      </w:pPr>
      <w:r>
        <w:t>unter Nutzung von Aus- oder Einspeisekapazität des Netzbetreibers am Speicheranschlusspunkt, die nicht mit einem rabattierten Entgelt gemäß den Vorgaben der Ziffer 2 Satz 1 des Tenors von REGENT 202</w:t>
      </w:r>
      <w:r w:rsidR="00437856">
        <w:t>6</w:t>
      </w:r>
      <w:r>
        <w:t xml:space="preserve"> bepreist ist (nachfolgend </w:t>
      </w:r>
      <w:r>
        <w:lastRenderedPageBreak/>
        <w:t>„</w:t>
      </w:r>
      <w:proofErr w:type="spellStart"/>
      <w:r>
        <w:t>unrabattierte</w:t>
      </w:r>
      <w:proofErr w:type="spellEnd"/>
      <w:r>
        <w:t xml:space="preserve"> Kapazität“), in die Speicheranlage ein- und ausgespeichert werden (nachfolgend „Nicht-Rabattkonto“).</w:t>
      </w:r>
    </w:p>
    <w:p w14:paraId="7BF06F90" w14:textId="77777777" w:rsidR="00791812" w:rsidRDefault="00791812" w:rsidP="00273750">
      <w:pPr>
        <w:spacing w:after="360"/>
        <w:ind w:left="567"/>
        <w:jc w:val="both"/>
      </w:pPr>
      <w:r>
        <w:t>Die Bestimmungen von § 3 Ziffer 2 lit. c) und d) bleiben unberührt.</w:t>
      </w:r>
    </w:p>
    <w:p w14:paraId="1ADF5AA8" w14:textId="0C369041" w:rsidR="00791812" w:rsidRDefault="00791812" w:rsidP="00F24199">
      <w:pPr>
        <w:pStyle w:val="Listenabsatz"/>
        <w:numPr>
          <w:ilvl w:val="0"/>
          <w:numId w:val="9"/>
        </w:numPr>
        <w:ind w:left="567" w:hanging="567"/>
        <w:contextualSpacing w:val="0"/>
        <w:jc w:val="both"/>
      </w:pPr>
      <w:r>
        <w:t>Der Speicherbetreiber stellt sicher, dass eine Umbuchung</w:t>
      </w:r>
    </w:p>
    <w:p w14:paraId="40872222" w14:textId="4B95774F" w:rsidR="00791812" w:rsidRDefault="00791812" w:rsidP="00F24199">
      <w:pPr>
        <w:pStyle w:val="Listenabsatz"/>
        <w:numPr>
          <w:ilvl w:val="0"/>
          <w:numId w:val="11"/>
        </w:numPr>
        <w:spacing w:before="120" w:after="120"/>
        <w:ind w:left="851" w:hanging="284"/>
        <w:jc w:val="both"/>
      </w:pPr>
      <w:r>
        <w:t>zwischen einem Rabatt- und einem Nicht-Rabattkonto des Marktgebietes THE sowie</w:t>
      </w:r>
    </w:p>
    <w:p w14:paraId="67A47ADE" w14:textId="24524E1D" w:rsidR="00791812" w:rsidRDefault="00791812" w:rsidP="00F24199">
      <w:pPr>
        <w:pStyle w:val="Listenabsatz"/>
        <w:numPr>
          <w:ilvl w:val="0"/>
          <w:numId w:val="11"/>
        </w:numPr>
        <w:spacing w:before="120" w:after="120"/>
        <w:ind w:left="851" w:hanging="284"/>
        <w:jc w:val="both"/>
      </w:pPr>
      <w:r>
        <w:t>zwischen einem Rabattkonto des Marktgebietes THE und einem Konto eines angeschlossenen Marktes eines Nachbarstaates</w:t>
      </w:r>
    </w:p>
    <w:p w14:paraId="1EA435F6" w14:textId="4098FBB3" w:rsidR="00791812" w:rsidRDefault="00F215BC" w:rsidP="00F24199">
      <w:pPr>
        <w:spacing w:after="360"/>
        <w:ind w:left="567"/>
        <w:jc w:val="both"/>
      </w:pPr>
      <w:r w:rsidRPr="00F215BC">
        <w:t xml:space="preserve">vorbehaltlich der Regelungen in § </w:t>
      </w:r>
      <w:r>
        <w:t>3</w:t>
      </w:r>
      <w:r w:rsidRPr="00F215BC">
        <w:t xml:space="preserve"> Ziffer 3 </w:t>
      </w:r>
      <w:r w:rsidR="000D2F0B" w:rsidRPr="005A4D77">
        <w:rPr>
          <w:i/>
          <w:iCs/>
        </w:rPr>
        <w:t>[sofern Option in § 3 Ziffer 1 gewählt wird, hier Verweis auf § 3 Ziffer 4]</w:t>
      </w:r>
      <w:r w:rsidR="000D2F0B" w:rsidRPr="000D2F0B">
        <w:t xml:space="preserve"> </w:t>
      </w:r>
      <w:r w:rsidR="00791812">
        <w:t>in beide Richtungen nicht möglich ist.</w:t>
      </w:r>
      <w:r w:rsidR="00085847">
        <w:t xml:space="preserve"> </w:t>
      </w:r>
    </w:p>
    <w:p w14:paraId="3009D5B3" w14:textId="28F11D73" w:rsidR="00791812" w:rsidRDefault="00791812" w:rsidP="00F24199">
      <w:pPr>
        <w:pStyle w:val="Listenabsatz"/>
        <w:numPr>
          <w:ilvl w:val="0"/>
          <w:numId w:val="9"/>
        </w:numPr>
        <w:ind w:left="567" w:hanging="567"/>
        <w:jc w:val="both"/>
      </w:pPr>
      <w:r>
        <w:t>Der Speicherbetreiber verpflichtet sich, die erforderlichen vertraglichen Regelungen zur Umsetzung der vorstehend beschriebenen Kontensystematik mit den betroffenen Speicherkunden zu treffen.</w:t>
      </w:r>
    </w:p>
    <w:p w14:paraId="6A32CACD" w14:textId="77777777" w:rsidR="00791812" w:rsidRDefault="00791812" w:rsidP="00F24199">
      <w:pPr>
        <w:jc w:val="both"/>
      </w:pPr>
    </w:p>
    <w:p w14:paraId="0457F020" w14:textId="45037E66" w:rsidR="00791812" w:rsidRPr="00791812" w:rsidRDefault="00791812" w:rsidP="00F24199">
      <w:pPr>
        <w:ind w:left="567" w:hanging="567"/>
        <w:jc w:val="both"/>
        <w:rPr>
          <w:b/>
          <w:bCs/>
        </w:rPr>
      </w:pPr>
      <w:r w:rsidRPr="00791812">
        <w:rPr>
          <w:b/>
          <w:bCs/>
        </w:rPr>
        <w:t xml:space="preserve">§ 2 </w:t>
      </w:r>
      <w:r w:rsidR="00F2787D">
        <w:rPr>
          <w:b/>
          <w:bCs/>
        </w:rPr>
        <w:tab/>
      </w:r>
      <w:r w:rsidRPr="00791812">
        <w:rPr>
          <w:b/>
          <w:bCs/>
        </w:rPr>
        <w:t>Dokumentations- und Informationspflicht</w:t>
      </w:r>
    </w:p>
    <w:p w14:paraId="3CA3A2AA" w14:textId="23166349" w:rsidR="00791812" w:rsidRDefault="00791812" w:rsidP="00F24199">
      <w:pPr>
        <w:jc w:val="both"/>
      </w:pPr>
      <w:r>
        <w:t>Sofern der Netzbetreiber berechtigte Zweifel an der Einhaltung der Regelungen dieses Vertrages hat, ihm eine Auskunftsanfrage betreffend REGENT 202</w:t>
      </w:r>
      <w:r w:rsidR="00437856">
        <w:t>6</w:t>
      </w:r>
      <w:r>
        <w:t xml:space="preserve"> durch die Bundesnetzagentur oder eine andere zuständige Behörde vorliegt oder er Adressat einer gerichtlichen Überprüfung der Einhaltung der Vorgaben der REGENT 202</w:t>
      </w:r>
      <w:r w:rsidR="00437856">
        <w:t>6</w:t>
      </w:r>
      <w:r>
        <w:t>-Festlegung ist, hat der Speicherbetreiber auf Verlangen des Netzbetreibers die erforderlichen Nachweise über die Einhaltung der Vorgaben des Tenors 2 von REGENT 202</w:t>
      </w:r>
      <w:r w:rsidR="00437856">
        <w:t>6</w:t>
      </w:r>
      <w:r>
        <w:t xml:space="preserve"> – ggf. entsprechend der Vorgaben der Behörde oder des Gerichts – beizubringen.</w:t>
      </w:r>
    </w:p>
    <w:p w14:paraId="7F6E08F1" w14:textId="77777777" w:rsidR="00F2787D" w:rsidRDefault="00F2787D" w:rsidP="00F24199">
      <w:pPr>
        <w:jc w:val="both"/>
      </w:pPr>
    </w:p>
    <w:p w14:paraId="6CA41F95" w14:textId="15E97656" w:rsidR="00791812" w:rsidRPr="00791812" w:rsidRDefault="00791812" w:rsidP="00F24199">
      <w:pPr>
        <w:ind w:left="567" w:hanging="567"/>
        <w:jc w:val="both"/>
        <w:rPr>
          <w:b/>
          <w:bCs/>
        </w:rPr>
      </w:pPr>
      <w:r w:rsidRPr="00791812">
        <w:rPr>
          <w:b/>
          <w:bCs/>
        </w:rPr>
        <w:t xml:space="preserve">§ 3 </w:t>
      </w:r>
      <w:r w:rsidR="00F2787D">
        <w:rPr>
          <w:b/>
          <w:bCs/>
        </w:rPr>
        <w:tab/>
      </w:r>
      <w:r w:rsidRPr="00791812">
        <w:rPr>
          <w:b/>
          <w:bCs/>
        </w:rPr>
        <w:t>Einbringung in Bilanzkreis/Sub-Bilanzkonto und Zuordnung der Gasmengen</w:t>
      </w:r>
    </w:p>
    <w:p w14:paraId="6F5C906F" w14:textId="2BE00044" w:rsidR="00791812" w:rsidRDefault="00791812" w:rsidP="00F24199">
      <w:pPr>
        <w:pStyle w:val="Listenabsatz"/>
        <w:numPr>
          <w:ilvl w:val="1"/>
          <w:numId w:val="28"/>
        </w:numPr>
        <w:ind w:left="567" w:hanging="567"/>
        <w:contextualSpacing w:val="0"/>
        <w:jc w:val="both"/>
      </w:pPr>
      <w:r>
        <w:t>Der Netzbetreiber stellt sicher, dass ein Transportkunde</w:t>
      </w:r>
    </w:p>
    <w:p w14:paraId="4D1DF586" w14:textId="1F07539A" w:rsidR="00791812" w:rsidRDefault="00791812" w:rsidP="00F24199">
      <w:pPr>
        <w:pStyle w:val="Listenabsatz"/>
        <w:numPr>
          <w:ilvl w:val="0"/>
          <w:numId w:val="18"/>
        </w:numPr>
        <w:ind w:left="992" w:hanging="425"/>
        <w:contextualSpacing w:val="0"/>
        <w:jc w:val="both"/>
      </w:pPr>
      <w:r>
        <w:t xml:space="preserve">rabattierte Kapazität ausschließlich in einen Bilanzkreis/Sub-Bilanzkonto ohne besondere Kennzeichnung für </w:t>
      </w:r>
      <w:proofErr w:type="spellStart"/>
      <w:r>
        <w:t>unrabattierte</w:t>
      </w:r>
      <w:proofErr w:type="spellEnd"/>
      <w:r>
        <w:t xml:space="preserve"> Kapazität einbringen kann (§ 7 Ziffer 8 Anlage 1 der Kooperationsvereinbarung zwischen den Betreibern von in Deutschland gelegenen Gasversorgungsnetzen in der jeweils gültigen Fassung (nachfolgend „KoV")) und</w:t>
      </w:r>
    </w:p>
    <w:p w14:paraId="1160F19F" w14:textId="6CD5B6C5" w:rsidR="00791812" w:rsidRDefault="00791812" w:rsidP="00F24199">
      <w:pPr>
        <w:pStyle w:val="Listenabsatz"/>
        <w:numPr>
          <w:ilvl w:val="0"/>
          <w:numId w:val="18"/>
        </w:numPr>
        <w:ind w:left="993" w:hanging="426"/>
        <w:jc w:val="both"/>
      </w:pPr>
      <w:proofErr w:type="spellStart"/>
      <w:r>
        <w:t>unrabattierte</w:t>
      </w:r>
      <w:proofErr w:type="spellEnd"/>
      <w:r>
        <w:t xml:space="preserve"> Kapazität ausschließlich in einen besonders gekennzeichneten Bilanzkreis/Sub-Bilanzkonto für </w:t>
      </w:r>
      <w:proofErr w:type="spellStart"/>
      <w:r>
        <w:t>unrabattierte</w:t>
      </w:r>
      <w:proofErr w:type="spellEnd"/>
      <w:r>
        <w:t xml:space="preserve"> Kapazitäten einbringen kann (§ 7 Ziffer 7 Anlage 1 KoV).</w:t>
      </w:r>
    </w:p>
    <w:p w14:paraId="08D2B2F8" w14:textId="1E7B519E" w:rsidR="00F2787D" w:rsidRPr="009D710A" w:rsidRDefault="00FB0E99" w:rsidP="00F24199">
      <w:pPr>
        <w:ind w:left="567"/>
        <w:jc w:val="both"/>
        <w:rPr>
          <w:i/>
          <w:iCs/>
        </w:rPr>
      </w:pPr>
      <w:r w:rsidRPr="009D710A">
        <w:rPr>
          <w:i/>
          <w:iCs/>
        </w:rPr>
        <w:lastRenderedPageBreak/>
        <w:t xml:space="preserve">[Optional: </w:t>
      </w:r>
      <w:r w:rsidR="00791812" w:rsidRPr="009D710A">
        <w:rPr>
          <w:i/>
          <w:iCs/>
        </w:rPr>
        <w:t xml:space="preserve">Die Vertragspartner vereinbaren, dass die Zuordnung zum jeweiligen Konto über unterschiedliche </w:t>
      </w:r>
      <w:proofErr w:type="spellStart"/>
      <w:r w:rsidR="00791812" w:rsidRPr="009D710A">
        <w:rPr>
          <w:i/>
          <w:iCs/>
        </w:rPr>
        <w:t>Shippercodes</w:t>
      </w:r>
      <w:proofErr w:type="spellEnd"/>
      <w:r w:rsidR="00791812" w:rsidRPr="009D710A">
        <w:rPr>
          <w:i/>
          <w:iCs/>
        </w:rPr>
        <w:t xml:space="preserve"> erfolg</w:t>
      </w:r>
      <w:r w:rsidR="00E21CAD" w:rsidRPr="009D710A">
        <w:rPr>
          <w:i/>
          <w:iCs/>
        </w:rPr>
        <w:t>t</w:t>
      </w:r>
      <w:r w:rsidR="00791812" w:rsidRPr="009D710A">
        <w:rPr>
          <w:i/>
          <w:iCs/>
        </w:rPr>
        <w:t>.</w:t>
      </w:r>
      <w:r w:rsidRPr="009D710A">
        <w:rPr>
          <w:i/>
          <w:iCs/>
        </w:rPr>
        <w:t>]</w:t>
      </w:r>
    </w:p>
    <w:p w14:paraId="358DEB9D" w14:textId="30BDA6DD" w:rsidR="00791812" w:rsidRDefault="00791812" w:rsidP="00F24199">
      <w:pPr>
        <w:spacing w:after="360"/>
        <w:ind w:left="567"/>
        <w:jc w:val="both"/>
      </w:pPr>
      <w:r>
        <w:t xml:space="preserve">Der Netzbetreiber teilt dem Speicherbetreiber im Rahmen des </w:t>
      </w:r>
      <w:proofErr w:type="spellStart"/>
      <w:r>
        <w:t>Matchings</w:t>
      </w:r>
      <w:proofErr w:type="spellEnd"/>
      <w:r>
        <w:t xml:space="preserve"> den jeweiligen Bilanzkreis-Code mit.  </w:t>
      </w:r>
    </w:p>
    <w:p w14:paraId="2094B097" w14:textId="1E644791" w:rsidR="00791812" w:rsidRDefault="00791812" w:rsidP="00F24199">
      <w:pPr>
        <w:pStyle w:val="Listenabsatz"/>
        <w:numPr>
          <w:ilvl w:val="1"/>
          <w:numId w:val="28"/>
        </w:numPr>
        <w:ind w:left="567" w:hanging="567"/>
        <w:jc w:val="both"/>
      </w:pPr>
      <w:r>
        <w:t>Der Speicherbetreiber stellt sicher, dass Arbeitsgasmengen, die</w:t>
      </w:r>
    </w:p>
    <w:p w14:paraId="644B320D" w14:textId="585E8EC0" w:rsidR="00791812" w:rsidRDefault="00791812" w:rsidP="00F24199">
      <w:pPr>
        <w:pStyle w:val="Listenabsatz"/>
        <w:numPr>
          <w:ilvl w:val="0"/>
          <w:numId w:val="19"/>
        </w:numPr>
        <w:ind w:left="992" w:hanging="425"/>
        <w:contextualSpacing w:val="0"/>
        <w:jc w:val="both"/>
      </w:pPr>
      <w:r>
        <w:t xml:space="preserve">aus einem Bilanzkreis/Sub-Bilanzkonto ohne besondere Kennzeichnung für </w:t>
      </w:r>
      <w:proofErr w:type="spellStart"/>
      <w:r>
        <w:t>unrabattierte</w:t>
      </w:r>
      <w:proofErr w:type="spellEnd"/>
      <w:r>
        <w:t xml:space="preserve"> Kapazität eingespeichert werden, ausschließlich einem Rabattkonto zugeordnet werden,</w:t>
      </w:r>
    </w:p>
    <w:p w14:paraId="36CC8C4D" w14:textId="1780AAB9" w:rsidR="00791812" w:rsidRDefault="00791812" w:rsidP="00F24199">
      <w:pPr>
        <w:pStyle w:val="Listenabsatz"/>
        <w:numPr>
          <w:ilvl w:val="0"/>
          <w:numId w:val="19"/>
        </w:numPr>
        <w:ind w:left="992" w:hanging="425"/>
        <w:contextualSpacing w:val="0"/>
        <w:jc w:val="both"/>
      </w:pPr>
      <w:r>
        <w:t xml:space="preserve">aus einem besonders gekennzeichneten Bilanzkreis/Sub-Bilanzkonto für </w:t>
      </w:r>
      <w:proofErr w:type="spellStart"/>
      <w:r>
        <w:t>unrabattierte</w:t>
      </w:r>
      <w:proofErr w:type="spellEnd"/>
      <w:r>
        <w:t xml:space="preserve"> Kapazitäten eingespeichert werden, ausschließlich einem Nicht-Rabattkonto</w:t>
      </w:r>
      <w:r w:rsidR="00F2787D">
        <w:t xml:space="preserve"> </w:t>
      </w:r>
      <w:r>
        <w:t>zugeordnet werden,</w:t>
      </w:r>
    </w:p>
    <w:p w14:paraId="475F1FDA" w14:textId="77777777" w:rsidR="00A7490B" w:rsidRDefault="00791812" w:rsidP="00F24199">
      <w:pPr>
        <w:pStyle w:val="Listenabsatz"/>
        <w:numPr>
          <w:ilvl w:val="0"/>
          <w:numId w:val="19"/>
        </w:numPr>
        <w:ind w:left="993" w:hanging="426"/>
        <w:jc w:val="both"/>
      </w:pPr>
      <w:r>
        <w:t xml:space="preserve">aus einem Nicht-Rabattkonto ausgespeichert werden, </w:t>
      </w:r>
    </w:p>
    <w:p w14:paraId="147A6BBB" w14:textId="0C2A7E21" w:rsidR="00A7490B" w:rsidRDefault="00791812" w:rsidP="00F24199">
      <w:pPr>
        <w:pStyle w:val="Listenabsatz"/>
        <w:numPr>
          <w:ilvl w:val="0"/>
          <w:numId w:val="25"/>
        </w:numPr>
        <w:jc w:val="both"/>
      </w:pPr>
      <w:r>
        <w:t xml:space="preserve">entweder an einen besonders gekennzeichneten Bilanzkreis/Sub-Bilanzkonto für </w:t>
      </w:r>
      <w:proofErr w:type="spellStart"/>
      <w:r>
        <w:t>unrabattierte</w:t>
      </w:r>
      <w:proofErr w:type="spellEnd"/>
      <w:r>
        <w:t xml:space="preserve"> Kapazitäten übergeben werden oder, </w:t>
      </w:r>
    </w:p>
    <w:p w14:paraId="602F3EC3" w14:textId="7C00509F" w:rsidR="00791812" w:rsidRDefault="00791812" w:rsidP="009D710A">
      <w:pPr>
        <w:pStyle w:val="Listenabsatz"/>
        <w:numPr>
          <w:ilvl w:val="0"/>
          <w:numId w:val="25"/>
        </w:numPr>
        <w:ind w:left="1712" w:hanging="357"/>
        <w:contextualSpacing w:val="0"/>
        <w:jc w:val="both"/>
      </w:pPr>
      <w:r>
        <w:t xml:space="preserve">sofern die eingespeicherten Mengen nachweislich wieder in </w:t>
      </w:r>
      <w:r w:rsidR="00FA3B44">
        <w:t>das Marktgebiet</w:t>
      </w:r>
      <w:r>
        <w:t xml:space="preserve"> THE, aus dem die betreffende Arbeitsgasmenge ursprünglich eingespeichert wurde, ausgespeichert werden, an einen Bilanzkreis/ Sub-Bilanzkonto </w:t>
      </w:r>
      <w:proofErr w:type="gramStart"/>
      <w:r>
        <w:t>ohne  besondere</w:t>
      </w:r>
      <w:proofErr w:type="gramEnd"/>
      <w:r>
        <w:t xml:space="preserve"> Kennzeichnung für </w:t>
      </w:r>
      <w:proofErr w:type="spellStart"/>
      <w:r w:rsidR="00F2787D">
        <w:t>u</w:t>
      </w:r>
      <w:r>
        <w:t>nrabattierte</w:t>
      </w:r>
      <w:proofErr w:type="spellEnd"/>
      <w:r>
        <w:t xml:space="preserve"> Kapazität übergeben werden und</w:t>
      </w:r>
    </w:p>
    <w:p w14:paraId="0A1D5EBE" w14:textId="77777777" w:rsidR="00A7490B" w:rsidRDefault="00791812" w:rsidP="00F24199">
      <w:pPr>
        <w:pStyle w:val="Listenabsatz"/>
        <w:numPr>
          <w:ilvl w:val="0"/>
          <w:numId w:val="19"/>
        </w:numPr>
        <w:ind w:left="993" w:hanging="426"/>
        <w:jc w:val="both"/>
      </w:pPr>
      <w:r>
        <w:t xml:space="preserve">aus einem Rabattkonto ausgespeichert werden, </w:t>
      </w:r>
    </w:p>
    <w:p w14:paraId="7E4C5113" w14:textId="3752BF8C" w:rsidR="00A7490B" w:rsidRDefault="00791812" w:rsidP="00F24199">
      <w:pPr>
        <w:pStyle w:val="Listenabsatz"/>
        <w:numPr>
          <w:ilvl w:val="0"/>
          <w:numId w:val="26"/>
        </w:numPr>
        <w:jc w:val="both"/>
      </w:pPr>
      <w:r>
        <w:t>entweder an einen Bilanzkreis/Sub</w:t>
      </w:r>
      <w:r w:rsidR="00FA3B44">
        <w:t>- Bilanzkonto</w:t>
      </w:r>
      <w:r>
        <w:t xml:space="preserve"> ohne besondere Kennzeichnung für </w:t>
      </w:r>
      <w:proofErr w:type="spellStart"/>
      <w:r>
        <w:t>unrabattierte</w:t>
      </w:r>
      <w:proofErr w:type="spellEnd"/>
      <w:r>
        <w:t xml:space="preserve"> Kapazität übergeben werden oder, </w:t>
      </w:r>
    </w:p>
    <w:p w14:paraId="0F87A20C" w14:textId="009A6599" w:rsidR="00791812" w:rsidRDefault="00791812" w:rsidP="009D710A">
      <w:pPr>
        <w:pStyle w:val="Listenabsatz"/>
        <w:numPr>
          <w:ilvl w:val="0"/>
          <w:numId w:val="26"/>
        </w:numPr>
        <w:ind w:left="1712" w:hanging="357"/>
        <w:contextualSpacing w:val="0"/>
        <w:jc w:val="both"/>
      </w:pPr>
      <w:r>
        <w:t xml:space="preserve">sofern die eingespeicherten Mengen nachweislich wieder in das Marktgebiet THE, aus dem die betreffende Arbeitsgasmenge ursprünglich </w:t>
      </w:r>
      <w:r w:rsidR="00FA3B44">
        <w:t>eingespeichert wurde</w:t>
      </w:r>
      <w:r>
        <w:t xml:space="preserve">, ausgespeichert werden, an einen besonders gekennzeichneten Bilanzkreis/Sub-Bilanzkonto für </w:t>
      </w:r>
      <w:proofErr w:type="spellStart"/>
      <w:r>
        <w:t>unrabattierte</w:t>
      </w:r>
      <w:proofErr w:type="spellEnd"/>
      <w:r>
        <w:t xml:space="preserve"> Kapazitäten übergeben werden.</w:t>
      </w:r>
    </w:p>
    <w:p w14:paraId="6D899A1B" w14:textId="4B92D2A0" w:rsidR="0035010E" w:rsidRDefault="0088048C" w:rsidP="00FA0E69">
      <w:pPr>
        <w:pStyle w:val="Listenabsatz"/>
        <w:numPr>
          <w:ilvl w:val="1"/>
          <w:numId w:val="28"/>
        </w:numPr>
        <w:spacing w:after="360"/>
        <w:ind w:left="567" w:hanging="567"/>
        <w:contextualSpacing w:val="0"/>
        <w:jc w:val="both"/>
      </w:pPr>
      <w:r w:rsidRPr="009D710A">
        <w:rPr>
          <w:i/>
          <w:iCs/>
        </w:rPr>
        <w:t>[</w:t>
      </w:r>
      <w:proofErr w:type="gramStart"/>
      <w:r w:rsidR="00F015C3" w:rsidRPr="009D710A">
        <w:rPr>
          <w:i/>
          <w:iCs/>
        </w:rPr>
        <w:t>Hinzuzufügen</w:t>
      </w:r>
      <w:proofErr w:type="gramEnd"/>
      <w:r w:rsidR="006152BF" w:rsidRPr="009D710A">
        <w:rPr>
          <w:i/>
          <w:iCs/>
        </w:rPr>
        <w:t xml:space="preserve">, sofern </w:t>
      </w:r>
      <w:r w:rsidR="00CF4FF3" w:rsidRPr="009D710A">
        <w:rPr>
          <w:i/>
          <w:iCs/>
        </w:rPr>
        <w:t xml:space="preserve">Option in </w:t>
      </w:r>
      <w:r w:rsidR="007F218B" w:rsidRPr="009D710A">
        <w:rPr>
          <w:i/>
          <w:iCs/>
        </w:rPr>
        <w:t>§ 3 Ziffer 1</w:t>
      </w:r>
      <w:r w:rsidR="003C48F7" w:rsidRPr="009D710A">
        <w:rPr>
          <w:i/>
          <w:iCs/>
        </w:rPr>
        <w:t xml:space="preserve"> </w:t>
      </w:r>
      <w:r w:rsidR="002B1FC0" w:rsidRPr="009D710A">
        <w:rPr>
          <w:i/>
          <w:iCs/>
        </w:rPr>
        <w:t>gewählt wird</w:t>
      </w:r>
      <w:r w:rsidRPr="009D710A">
        <w:rPr>
          <w:i/>
          <w:iCs/>
        </w:rPr>
        <w:t xml:space="preserve">: </w:t>
      </w:r>
      <w:r w:rsidR="00E21CAD" w:rsidRPr="009D710A">
        <w:rPr>
          <w:i/>
          <w:iCs/>
        </w:rPr>
        <w:t xml:space="preserve">Die Zuordnung dieser Arbeitsgasmengen zum gewünschten Bilanzkreis erfolgt über die entsprechenden </w:t>
      </w:r>
      <w:proofErr w:type="spellStart"/>
      <w:r w:rsidR="00E21CAD" w:rsidRPr="009D710A">
        <w:rPr>
          <w:i/>
          <w:iCs/>
        </w:rPr>
        <w:t>Shippercodepaare</w:t>
      </w:r>
      <w:proofErr w:type="spellEnd"/>
      <w:r w:rsidR="00E21CAD" w:rsidRPr="009D710A">
        <w:rPr>
          <w:i/>
          <w:iCs/>
        </w:rPr>
        <w:t>.</w:t>
      </w:r>
      <w:r w:rsidR="003834AB" w:rsidRPr="009D710A">
        <w:rPr>
          <w:i/>
          <w:iCs/>
        </w:rPr>
        <w:t>]</w:t>
      </w:r>
    </w:p>
    <w:p w14:paraId="61606CB7" w14:textId="1119CFD2" w:rsidR="00791812" w:rsidRDefault="00791812" w:rsidP="009D710A">
      <w:pPr>
        <w:pStyle w:val="Listenabsatz"/>
        <w:numPr>
          <w:ilvl w:val="1"/>
          <w:numId w:val="28"/>
        </w:numPr>
        <w:spacing w:after="360"/>
        <w:ind w:left="567" w:hanging="567"/>
        <w:contextualSpacing w:val="0"/>
        <w:jc w:val="both"/>
      </w:pPr>
      <w:r>
        <w:t xml:space="preserve">Im Falle einer erfolgten Fakturierung im Sinne von Rand-Nr. </w:t>
      </w:r>
      <w:r w:rsidR="00085847">
        <w:t xml:space="preserve">287 (Fall 1) </w:t>
      </w:r>
      <w:r w:rsidR="00085847" w:rsidRPr="00085847">
        <w:t>bzw. Rand</w:t>
      </w:r>
      <w:r w:rsidR="00085847">
        <w:t>-N</w:t>
      </w:r>
      <w:r w:rsidR="00085847" w:rsidRPr="00085847">
        <w:t>r. 289 (Fall 2)</w:t>
      </w:r>
      <w:r>
        <w:t xml:space="preserve"> von REGENT 202</w:t>
      </w:r>
      <w:r w:rsidR="00085847">
        <w:t>6</w:t>
      </w:r>
      <w:r>
        <w:t xml:space="preserve"> informiert der Netzbetreiber den Speicherbetreiber über die betroffenen Arbeitsgasmengen und den betroffenen Speicherkunden. In diesem Fall kann abweichend von § 1 Ziffer 2 eine Umbuchung von dem Rabattkonto auf das Nicht-Rabattkonto des Marktgebietes THE </w:t>
      </w:r>
      <w:r w:rsidR="00085847">
        <w:t xml:space="preserve">(Fall 1) </w:t>
      </w:r>
      <w:r>
        <w:t>oder von dem Konto des angeschlossenen Marktes eines Nachbarstaates auf das Rabattkonto des Marktgebietes THE</w:t>
      </w:r>
      <w:r w:rsidR="00085847">
        <w:t xml:space="preserve"> (Fall 2)</w:t>
      </w:r>
      <w:r>
        <w:t xml:space="preserve"> erfolgen.</w:t>
      </w:r>
    </w:p>
    <w:p w14:paraId="2EC85059" w14:textId="405A849A" w:rsidR="00791812" w:rsidRDefault="00791812" w:rsidP="00F24199">
      <w:pPr>
        <w:pStyle w:val="Listenabsatz"/>
        <w:numPr>
          <w:ilvl w:val="1"/>
          <w:numId w:val="28"/>
        </w:numPr>
        <w:ind w:left="567" w:hanging="567"/>
        <w:jc w:val="both"/>
      </w:pPr>
      <w:r>
        <w:lastRenderedPageBreak/>
        <w:t xml:space="preserve">Wenn eine Zuordnung oder Übergabe der Arbeitsgasmengen nicht gemäß Ziffer 2 erfolgen kann, werden im Rahmen des </w:t>
      </w:r>
      <w:proofErr w:type="spellStart"/>
      <w:r>
        <w:t>Matchings</w:t>
      </w:r>
      <w:proofErr w:type="spellEnd"/>
      <w:r>
        <w:t xml:space="preserve"> seitens des Speicherbetreibers die betroffenen Nominierungen auf null gekürzt und an den Netzbetreiber kommuniziert.</w:t>
      </w:r>
    </w:p>
    <w:p w14:paraId="377ED5D1" w14:textId="77777777" w:rsidR="00791812" w:rsidRDefault="00791812" w:rsidP="00F24199">
      <w:pPr>
        <w:jc w:val="both"/>
        <w:rPr>
          <w:b/>
          <w:bCs/>
        </w:rPr>
      </w:pPr>
    </w:p>
    <w:p w14:paraId="55BF1FE0" w14:textId="6C04958E" w:rsidR="00791812" w:rsidRPr="00791812" w:rsidRDefault="00791812" w:rsidP="00F24199">
      <w:pPr>
        <w:jc w:val="both"/>
        <w:rPr>
          <w:b/>
          <w:bCs/>
        </w:rPr>
      </w:pPr>
      <w:r w:rsidRPr="00791812">
        <w:rPr>
          <w:b/>
          <w:bCs/>
        </w:rPr>
        <w:t xml:space="preserve">§ 4 </w:t>
      </w:r>
      <w:r w:rsidR="00F2787D">
        <w:rPr>
          <w:b/>
          <w:bCs/>
        </w:rPr>
        <w:tab/>
      </w:r>
      <w:r w:rsidRPr="00791812">
        <w:rPr>
          <w:b/>
          <w:bCs/>
        </w:rPr>
        <w:t>Datenweitergabe und Datenverarbeitung</w:t>
      </w:r>
    </w:p>
    <w:p w14:paraId="2036C166" w14:textId="77777777" w:rsidR="00791812" w:rsidRDefault="00791812" w:rsidP="00F24199">
      <w:pPr>
        <w:jc w:val="both"/>
      </w:pPr>
      <w:r>
        <w:t>Der Speicherbetreiber erklärt sein Einverständnis zur automatisierten Datenverarbeitung durch den Netzbetreiber oder ein von dem Netzbetreiber beauftragtes Unternehmen nach den Vorschriften der Datenschutzgesetze.</w:t>
      </w:r>
    </w:p>
    <w:p w14:paraId="27A7E14F" w14:textId="77777777" w:rsidR="00791812" w:rsidRDefault="00791812" w:rsidP="00F24199">
      <w:pPr>
        <w:jc w:val="both"/>
        <w:rPr>
          <w:b/>
          <w:bCs/>
        </w:rPr>
      </w:pPr>
    </w:p>
    <w:p w14:paraId="6FA6248B" w14:textId="06EA5250" w:rsidR="00791812" w:rsidRPr="00791812" w:rsidRDefault="00791812" w:rsidP="00F24199">
      <w:pPr>
        <w:jc w:val="both"/>
        <w:rPr>
          <w:b/>
          <w:bCs/>
        </w:rPr>
      </w:pPr>
      <w:r w:rsidRPr="00791812">
        <w:rPr>
          <w:b/>
          <w:bCs/>
        </w:rPr>
        <w:t xml:space="preserve">§ 5 </w:t>
      </w:r>
      <w:r w:rsidR="00F2787D">
        <w:rPr>
          <w:b/>
          <w:bCs/>
        </w:rPr>
        <w:tab/>
      </w:r>
      <w:r w:rsidRPr="00791812">
        <w:rPr>
          <w:b/>
          <w:bCs/>
        </w:rPr>
        <w:t>Haftung</w:t>
      </w:r>
    </w:p>
    <w:p w14:paraId="53D4D511" w14:textId="77777777" w:rsidR="00791812" w:rsidRDefault="00791812" w:rsidP="00F24199">
      <w:pPr>
        <w:jc w:val="both"/>
      </w:pPr>
      <w:r>
        <w:t>Es gilt die gesetzliche Haftung.</w:t>
      </w:r>
    </w:p>
    <w:p w14:paraId="26FECEA9" w14:textId="77777777" w:rsidR="00791812" w:rsidRDefault="00791812" w:rsidP="00F24199">
      <w:pPr>
        <w:jc w:val="both"/>
      </w:pPr>
    </w:p>
    <w:p w14:paraId="184AE8F0" w14:textId="666485ED" w:rsidR="00791812" w:rsidRPr="00791812" w:rsidRDefault="00791812" w:rsidP="00F24199">
      <w:pPr>
        <w:jc w:val="both"/>
        <w:rPr>
          <w:b/>
          <w:bCs/>
        </w:rPr>
      </w:pPr>
      <w:r w:rsidRPr="00791812">
        <w:rPr>
          <w:b/>
          <w:bCs/>
        </w:rPr>
        <w:t xml:space="preserve">6 </w:t>
      </w:r>
      <w:r w:rsidR="00F2787D">
        <w:rPr>
          <w:b/>
          <w:bCs/>
        </w:rPr>
        <w:tab/>
      </w:r>
      <w:r w:rsidRPr="00791812">
        <w:rPr>
          <w:b/>
          <w:bCs/>
        </w:rPr>
        <w:t>Höhere Gewalt</w:t>
      </w:r>
    </w:p>
    <w:p w14:paraId="2D56335D" w14:textId="34DCC6C3" w:rsidR="00791812" w:rsidRDefault="00791812" w:rsidP="00F24199">
      <w:pPr>
        <w:pStyle w:val="Listenabsatz"/>
        <w:numPr>
          <w:ilvl w:val="1"/>
          <w:numId w:val="21"/>
        </w:numPr>
        <w:spacing w:after="360"/>
        <w:ind w:hanging="720"/>
        <w:contextualSpacing w:val="0"/>
        <w:jc w:val="both"/>
      </w:pPr>
      <w:r>
        <w:t xml:space="preserve">Soweit ein Vertragspartner in Folge Höherer Gewalt gemäß Ziffer 2 an der Erfüllung seiner Pflichten gehindert ist, wird er von diesen Pflichten befreit. Der andere Vertragspartner wird soweit und </w:t>
      </w:r>
      <w:proofErr w:type="gramStart"/>
      <w:r>
        <w:t>solange</w:t>
      </w:r>
      <w:proofErr w:type="gramEnd"/>
      <w:r>
        <w:t xml:space="preserve"> von seinen Gegenleistungspflichten befreit, wie der Vertragspartner aufgrund von Höherer Gewalt an der Erfüllung seiner Pflichten gehindert ist.</w:t>
      </w:r>
    </w:p>
    <w:p w14:paraId="32D7CC2A" w14:textId="3DDE8112" w:rsidR="00791812" w:rsidRDefault="00791812" w:rsidP="00F24199">
      <w:pPr>
        <w:pStyle w:val="Listenabsatz"/>
        <w:numPr>
          <w:ilvl w:val="1"/>
          <w:numId w:val="21"/>
        </w:numPr>
        <w:spacing w:after="360"/>
        <w:ind w:hanging="720"/>
        <w:contextualSpacing w:val="0"/>
        <w:jc w:val="both"/>
      </w:pPr>
      <w:r>
        <w:t xml:space="preserve">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w:t>
      </w:r>
      <w:r w:rsidR="00085847" w:rsidRPr="00085847">
        <w:t xml:space="preserve">Epidemien und Pandemien, </w:t>
      </w:r>
      <w:r>
        <w:t>terroristische Angriffe, Stromausfall, Ausfall von Telekommunikationsverbindungen, Streik und Aussperrung, soweit die Aussperrung rechtmäßig ist, oder gesetzliche Bestimmungen oder Maßnahmen der Regierung oder von Gerichten oder Behörden (unabhängig von ihrer Rechtmäßigkeit).</w:t>
      </w:r>
    </w:p>
    <w:p w14:paraId="3A7FA2E4" w14:textId="7E3D6977" w:rsidR="00791812" w:rsidRDefault="00791812" w:rsidP="00F24199">
      <w:pPr>
        <w:pStyle w:val="Listenabsatz"/>
        <w:numPr>
          <w:ilvl w:val="1"/>
          <w:numId w:val="21"/>
        </w:numPr>
        <w:spacing w:after="360"/>
        <w:ind w:hanging="720"/>
        <w:contextualSpacing w:val="0"/>
        <w:jc w:val="both"/>
      </w:pPr>
      <w:r>
        <w:t>Der betroffene Vertragspartner hat den anderen Vertragspartner unverzüglich zu benachrichtigen und über die Gründe der Höheren Gewalt und die voraussichtliche Dauer zu informieren. Er wird sich bemühen, mit allen technisch möglichen und wirtschaftlich zumutbaren Mitteln dafür zu sorgen, dass er seine Pflichten schnellstmöglich wieder erfüllen kann.</w:t>
      </w:r>
    </w:p>
    <w:p w14:paraId="7C6F5A1E" w14:textId="262553E9" w:rsidR="00791812" w:rsidRDefault="00791812" w:rsidP="00F24199">
      <w:pPr>
        <w:pStyle w:val="Listenabsatz"/>
        <w:numPr>
          <w:ilvl w:val="1"/>
          <w:numId w:val="21"/>
        </w:numPr>
        <w:ind w:hanging="720"/>
        <w:jc w:val="both"/>
      </w:pPr>
      <w:r>
        <w:t xml:space="preserve">Nutzt ein Vertragspartner Dienstleistungen Dritter zur Erfüllung seiner vertraglichen Verpflichtungen, so gilt ein Ereignis, das für den Dritten höhere Gewalt oder </w:t>
      </w:r>
      <w:r>
        <w:lastRenderedPageBreak/>
        <w:t>einen sonstigen Umstand i.S.d. Ziffer 2 darstellen würde, auch zugunsten dieses Vertragspartners als höhere Gewalt.</w:t>
      </w:r>
    </w:p>
    <w:p w14:paraId="1436C99A" w14:textId="77777777" w:rsidR="00572EB9" w:rsidRDefault="00572EB9" w:rsidP="00F24199">
      <w:pPr>
        <w:jc w:val="both"/>
      </w:pPr>
    </w:p>
    <w:p w14:paraId="56E12E1A" w14:textId="7208DD2B" w:rsidR="00791812" w:rsidRPr="00791812" w:rsidRDefault="00791812" w:rsidP="00F24199">
      <w:pPr>
        <w:jc w:val="both"/>
        <w:rPr>
          <w:b/>
          <w:bCs/>
        </w:rPr>
      </w:pPr>
      <w:r w:rsidRPr="00791812">
        <w:rPr>
          <w:b/>
          <w:bCs/>
        </w:rPr>
        <w:t xml:space="preserve">§ 7 </w:t>
      </w:r>
      <w:r w:rsidR="00F2787D">
        <w:rPr>
          <w:b/>
          <w:bCs/>
        </w:rPr>
        <w:tab/>
      </w:r>
      <w:r w:rsidRPr="00791812">
        <w:rPr>
          <w:b/>
          <w:bCs/>
        </w:rPr>
        <w:t>Rechtsnachfolge</w:t>
      </w:r>
    </w:p>
    <w:p w14:paraId="17B2895E" w14:textId="75FCBCDC" w:rsidR="00791812" w:rsidRDefault="00791812" w:rsidP="00F24199">
      <w:pPr>
        <w:jc w:val="both"/>
      </w:pPr>
      <w:r>
        <w:t>Die Übertragung von Rechten und Pflichten aus diesem Vertrag auf ein anderes Unternehmen bedarf nicht der Zustimmung de</w:t>
      </w:r>
      <w:r w:rsidR="002F32C3">
        <w:t>s</w:t>
      </w:r>
      <w:r>
        <w:t xml:space="preserve"> anderen Vertragspartner</w:t>
      </w:r>
      <w:r w:rsidR="002F32C3">
        <w:t>s</w:t>
      </w:r>
      <w:r>
        <w:t>, soweit dieses Unternehmen die Netzbetreiberaufgaben gemäß § 3 Nr. 5 oder 7 EnWG bzw. Aufgaben eines Speicherbetreibers nach § 3 Nr. 9 EnWG übernimmt.</w:t>
      </w:r>
    </w:p>
    <w:p w14:paraId="05D78EE8" w14:textId="77777777" w:rsidR="00791812" w:rsidRDefault="00791812" w:rsidP="00F24199">
      <w:pPr>
        <w:jc w:val="both"/>
      </w:pPr>
    </w:p>
    <w:p w14:paraId="374CA088" w14:textId="3FBDDE60" w:rsidR="00791812" w:rsidRPr="00F2787D" w:rsidRDefault="00791812" w:rsidP="00F24199">
      <w:pPr>
        <w:jc w:val="both"/>
        <w:rPr>
          <w:b/>
          <w:bCs/>
        </w:rPr>
      </w:pPr>
      <w:r w:rsidRPr="00F2787D">
        <w:rPr>
          <w:b/>
          <w:bCs/>
        </w:rPr>
        <w:t xml:space="preserve">§ 8 </w:t>
      </w:r>
      <w:r w:rsidR="00F2787D" w:rsidRPr="00F2787D">
        <w:rPr>
          <w:b/>
          <w:bCs/>
        </w:rPr>
        <w:tab/>
      </w:r>
      <w:r w:rsidRPr="00F2787D">
        <w:rPr>
          <w:b/>
          <w:bCs/>
        </w:rPr>
        <w:t>Schiedsgerichtsklausel</w:t>
      </w:r>
    </w:p>
    <w:p w14:paraId="4359845E" w14:textId="1E3923F0" w:rsidR="00791812" w:rsidRDefault="00791812" w:rsidP="00F24199">
      <w:pPr>
        <w:pStyle w:val="Listenabsatz"/>
        <w:numPr>
          <w:ilvl w:val="0"/>
          <w:numId w:val="12"/>
        </w:numPr>
        <w:spacing w:after="360"/>
        <w:ind w:hanging="720"/>
        <w:contextualSpacing w:val="0"/>
        <w:jc w:val="both"/>
      </w:pPr>
      <w:r>
        <w:t>Die Vertragspartner werden sich nach besten Kräften bemühen, jede Streitigkeit zwischen den Vertragspartnern im Zusammenhang mit diesem Vertrag gütlich im Verhandlungsweg beizulegen.</w:t>
      </w:r>
    </w:p>
    <w:p w14:paraId="67603083" w14:textId="0E45E05F" w:rsidR="00791812" w:rsidRDefault="00791812" w:rsidP="00F24199">
      <w:pPr>
        <w:pStyle w:val="Listenabsatz"/>
        <w:numPr>
          <w:ilvl w:val="0"/>
          <w:numId w:val="12"/>
        </w:numPr>
        <w:spacing w:after="360"/>
        <w:ind w:hanging="720"/>
        <w:contextualSpacing w:val="0"/>
        <w:jc w:val="both"/>
      </w:pPr>
      <w:r>
        <w:t>Alle Streitigkeiten und sonstige Angelegenheiten aus und im Zusammenhang mit diesem Vertrag entscheidet, soweit die Streitigkeiten nach Ansicht einer der streitbeteiligten Vertragspartner nicht im gegenseitigen Einvernehmen gemäß Ziffer 1 beizulegen sind, unter Ausschluss des ordentlichen Rechtsweges endgültig und bindend ein Schiedsgericht. Das Schiedsgericht besteht aus 3 Schiedsrichtern, von denen einer den Vorsitz führt. Der Vorsitzende muss die Befähigung zum Richteramt besitzen.</w:t>
      </w:r>
    </w:p>
    <w:p w14:paraId="01E200BC" w14:textId="72D06E49" w:rsidR="00791812" w:rsidRDefault="00791812" w:rsidP="00F24199">
      <w:pPr>
        <w:pStyle w:val="Listenabsatz"/>
        <w:numPr>
          <w:ilvl w:val="0"/>
          <w:numId w:val="12"/>
        </w:numPr>
        <w:spacing w:after="360"/>
        <w:ind w:hanging="720"/>
        <w:contextualSpacing w:val="0"/>
        <w:jc w:val="both"/>
      </w:pPr>
      <w:r>
        <w:t>Das Schiedsgericht wird gebildet, indem der betreibende Vertragspartner („Antragsteller“) einen Schiedsrichter benennt und sodann den anderen Vertragspartner („Antragsgegner“) auffordert, einen zweiten Schiedsrichter zu benennen, und die beiden benannten Schiedsrichter dann den Vorsitzenden wählen. Hat der Antragsgegner den Schiedsrichter nicht innerhalb von 4 Wochen benannt, so darf der Antragsteller den Präsidenten des für den Sitz des Antragstellers zuständigen Oberlandesgerichts bitten, den Schiedsrichter vorzuschlagen; der Vorschlag ist für die beteiligten Vertragspartner verbindlich. Haben die Schiedsrichter den Vorsitzenden nicht innerhalb von 4 Wochen gewählt, so darf jeder beteiligte Vertragspartner den Präsidenten des für den Sitz des Antragstellers zuständigen Oberlandesgerichts bitten, den Vorsitzenden vorzuschlagen; der Vorschlag ist für die beteiligten Vertragspartner verbindlich.</w:t>
      </w:r>
    </w:p>
    <w:p w14:paraId="5642DE6C" w14:textId="5760E352" w:rsidR="00791812" w:rsidRDefault="00791812" w:rsidP="00F24199">
      <w:pPr>
        <w:pStyle w:val="Listenabsatz"/>
        <w:numPr>
          <w:ilvl w:val="0"/>
          <w:numId w:val="12"/>
        </w:numPr>
        <w:spacing w:after="360"/>
        <w:ind w:hanging="720"/>
        <w:contextualSpacing w:val="0"/>
        <w:jc w:val="both"/>
      </w:pPr>
      <w:r>
        <w:t>Im Übrigen gelten die gesetzlichen Bestimmungen über das schiedsrichterliche Verfahren.</w:t>
      </w:r>
    </w:p>
    <w:p w14:paraId="5E5BC2EE" w14:textId="6CAE7383" w:rsidR="00791812" w:rsidRDefault="00791812" w:rsidP="00F24199">
      <w:pPr>
        <w:pStyle w:val="Listenabsatz"/>
        <w:numPr>
          <w:ilvl w:val="0"/>
          <w:numId w:val="12"/>
        </w:numPr>
        <w:ind w:hanging="720"/>
        <w:jc w:val="both"/>
      </w:pPr>
      <w:r>
        <w:t>§ 31 EnWG bleibt unberührt.</w:t>
      </w:r>
    </w:p>
    <w:p w14:paraId="0152124F" w14:textId="24788CCA" w:rsidR="00791812" w:rsidRPr="00791812" w:rsidRDefault="00791812" w:rsidP="00F24199">
      <w:pPr>
        <w:jc w:val="both"/>
        <w:rPr>
          <w:b/>
          <w:bCs/>
        </w:rPr>
      </w:pPr>
      <w:r w:rsidRPr="00791812">
        <w:rPr>
          <w:b/>
          <w:bCs/>
        </w:rPr>
        <w:lastRenderedPageBreak/>
        <w:t xml:space="preserve">§ 9 </w:t>
      </w:r>
      <w:r w:rsidR="00F2787D">
        <w:rPr>
          <w:b/>
          <w:bCs/>
        </w:rPr>
        <w:tab/>
      </w:r>
      <w:r w:rsidRPr="00791812">
        <w:rPr>
          <w:b/>
          <w:bCs/>
        </w:rPr>
        <w:t>Salvatorische Klausel</w:t>
      </w:r>
    </w:p>
    <w:p w14:paraId="27D78124" w14:textId="4444CA0E" w:rsidR="00791812" w:rsidRDefault="00791812" w:rsidP="00F24199">
      <w:pPr>
        <w:pStyle w:val="Listenabsatz"/>
        <w:numPr>
          <w:ilvl w:val="0"/>
          <w:numId w:val="14"/>
        </w:numPr>
        <w:spacing w:after="360"/>
        <w:ind w:hanging="720"/>
        <w:contextualSpacing w:val="0"/>
        <w:jc w:val="both"/>
      </w:pPr>
      <w:r>
        <w:t>Sollten einzelne Bestimmungen des Vertrages oder seiner Anlagen unwirksam oder undurchführbar sein oder werden, so bleiben der Vertrag und die Anlagen im Übrigen davon unberührt.</w:t>
      </w:r>
    </w:p>
    <w:p w14:paraId="452E524C" w14:textId="76C4AC3E" w:rsidR="00791812" w:rsidRDefault="00791812" w:rsidP="00F24199">
      <w:pPr>
        <w:pStyle w:val="Listenabsatz"/>
        <w:numPr>
          <w:ilvl w:val="0"/>
          <w:numId w:val="14"/>
        </w:numPr>
        <w:ind w:hanging="720"/>
        <w:jc w:val="both"/>
      </w:pPr>
      <w:r>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0EEF29FC" w14:textId="77777777" w:rsidR="00791812" w:rsidRDefault="00791812" w:rsidP="00F24199">
      <w:pPr>
        <w:jc w:val="both"/>
      </w:pPr>
    </w:p>
    <w:p w14:paraId="1D17FF95" w14:textId="24E947E9" w:rsidR="00791812" w:rsidRPr="00791812" w:rsidRDefault="00791812" w:rsidP="00F24199">
      <w:pPr>
        <w:jc w:val="both"/>
        <w:rPr>
          <w:b/>
          <w:bCs/>
        </w:rPr>
      </w:pPr>
      <w:r w:rsidRPr="00791812">
        <w:rPr>
          <w:b/>
          <w:bCs/>
        </w:rPr>
        <w:t xml:space="preserve">§ 10 </w:t>
      </w:r>
      <w:r w:rsidR="00F2787D">
        <w:rPr>
          <w:b/>
          <w:bCs/>
        </w:rPr>
        <w:tab/>
      </w:r>
      <w:r w:rsidRPr="00791812">
        <w:rPr>
          <w:b/>
          <w:bCs/>
        </w:rPr>
        <w:t>Vertraulichkeit</w:t>
      </w:r>
    </w:p>
    <w:p w14:paraId="7E1DDEA5" w14:textId="67B04D7F" w:rsidR="00791812" w:rsidRDefault="00791812" w:rsidP="00F24199">
      <w:pPr>
        <w:pStyle w:val="Listenabsatz"/>
        <w:numPr>
          <w:ilvl w:val="0"/>
          <w:numId w:val="16"/>
        </w:numPr>
        <w:spacing w:after="360"/>
        <w:ind w:left="567" w:hanging="567"/>
        <w:contextualSpacing w:val="0"/>
        <w:jc w:val="both"/>
      </w:pPr>
      <w:r>
        <w:t>Die Vertragspartner haben alle Informationen, die sie im Zusammenhang mit diesem</w:t>
      </w:r>
      <w:r w:rsidR="00F2787D">
        <w:t xml:space="preserve"> </w:t>
      </w:r>
      <w:r>
        <w:t>Vertrag erhalten haben (nachfolgend „vertrauliche Informationen“), vorbehaltlich der Bestimmungen in Ziffer 2, vertraulich zu behandeln und nicht offen zu legen oder Dritten zugänglich zu machen, es sei denn, der betroffene Vertragspartner hat dies zuvor schriftlich genehmigt. Die Vertragspartner verpflichten sich, die vertraulichen Informationen ausschließlich zum Zweck der Durchführung dieser Vereinbarung zu verwenden.</w:t>
      </w:r>
    </w:p>
    <w:p w14:paraId="43D952EA" w14:textId="53BB8041" w:rsidR="00791812" w:rsidRDefault="00791812" w:rsidP="00F24199">
      <w:pPr>
        <w:pStyle w:val="Listenabsatz"/>
        <w:numPr>
          <w:ilvl w:val="0"/>
          <w:numId w:val="16"/>
        </w:numPr>
        <w:ind w:left="567" w:hanging="567"/>
        <w:contextualSpacing w:val="0"/>
        <w:jc w:val="both"/>
      </w:pPr>
      <w:r>
        <w:t>Jeder Vertragspartner hat das Recht, vertrauliche Informationen, die er von dem anderen Vertragspartner erhalten hat, ohne dessen schriftliche Genehmigung offen zu legen</w:t>
      </w:r>
    </w:p>
    <w:p w14:paraId="17E8EB1B" w14:textId="77777777" w:rsidR="00791812" w:rsidRDefault="00791812" w:rsidP="00F24199">
      <w:pPr>
        <w:pStyle w:val="Listenabsatz"/>
        <w:numPr>
          <w:ilvl w:val="0"/>
          <w:numId w:val="22"/>
        </w:numPr>
        <w:ind w:left="993" w:hanging="426"/>
        <w:contextualSpacing w:val="0"/>
        <w:jc w:val="both"/>
      </w:pPr>
      <w:r>
        <w:t>gegenüber einem verbundenen Unternehmen, sofern dieses in gleicher Weise zur Vertraulichkeit verpflichtet ist,</w:t>
      </w:r>
    </w:p>
    <w:p w14:paraId="0CF2296D" w14:textId="7F6AE6A5" w:rsidR="00791812" w:rsidRDefault="00791812" w:rsidP="00F24199">
      <w:pPr>
        <w:pStyle w:val="Listenabsatz"/>
        <w:numPr>
          <w:ilvl w:val="0"/>
          <w:numId w:val="22"/>
        </w:numPr>
        <w:ind w:left="993" w:hanging="426"/>
        <w:contextualSpacing w:val="0"/>
        <w:jc w:val="both"/>
      </w:pPr>
      <w:r>
        <w:t xml:space="preserve">gegenüber seinen Vertretern, Beratern, Banken und Versicherungsgesellschaften, wenn und </w:t>
      </w:r>
      <w:proofErr w:type="gramStart"/>
      <w:r>
        <w:t>soweit</w:t>
      </w:r>
      <w:proofErr w:type="gramEnd"/>
      <w:r>
        <w:t xml:space="preserve">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w:t>
      </w:r>
    </w:p>
    <w:p w14:paraId="27FFD109" w14:textId="59D74E9C" w:rsidR="00791812" w:rsidRDefault="00791812" w:rsidP="00F24199">
      <w:pPr>
        <w:pStyle w:val="Listenabsatz"/>
        <w:numPr>
          <w:ilvl w:val="0"/>
          <w:numId w:val="22"/>
        </w:numPr>
        <w:ind w:left="992" w:hanging="425"/>
        <w:contextualSpacing w:val="0"/>
        <w:jc w:val="both"/>
      </w:pPr>
      <w:r>
        <w:t>in dem Umfang, wie diese vertraulichen Informationen</w:t>
      </w:r>
    </w:p>
    <w:p w14:paraId="1C031253" w14:textId="19BA4ED4" w:rsidR="00791812" w:rsidRDefault="00791812" w:rsidP="00F24199">
      <w:pPr>
        <w:pStyle w:val="Listenabsatz"/>
        <w:numPr>
          <w:ilvl w:val="0"/>
          <w:numId w:val="2"/>
        </w:numPr>
        <w:ind w:left="1418" w:hanging="426"/>
        <w:contextualSpacing w:val="0"/>
        <w:jc w:val="both"/>
      </w:pPr>
      <w:r>
        <w:t xml:space="preserve">dem diese Informationen empfangenden Vertragspartner zu dem Zeitpunkt, </w:t>
      </w:r>
      <w:r w:rsidR="0054334D">
        <w:t>zu dem</w:t>
      </w:r>
      <w:r>
        <w:t xml:space="preserve"> er sie von dem anderen Vertragspartner erhalten hat, berechtigterweise bereits bekannt sind,</w:t>
      </w:r>
    </w:p>
    <w:p w14:paraId="3CE2BBA4" w14:textId="23E9008C" w:rsidR="00791812" w:rsidRDefault="00791812" w:rsidP="00F24199">
      <w:pPr>
        <w:pStyle w:val="Listenabsatz"/>
        <w:numPr>
          <w:ilvl w:val="0"/>
          <w:numId w:val="2"/>
        </w:numPr>
        <w:ind w:left="1418" w:hanging="426"/>
        <w:contextualSpacing w:val="0"/>
        <w:jc w:val="both"/>
      </w:pPr>
      <w:r>
        <w:t xml:space="preserve">bereits öffentlich zugänglich sind oder der Öffentlichkeit in anderer Weise </w:t>
      </w:r>
      <w:r w:rsidR="0054334D">
        <w:t>als durch</w:t>
      </w:r>
      <w:r>
        <w:t xml:space="preserve"> Tun oder Unterlassen des empfangenden Vertragspartners </w:t>
      </w:r>
      <w:r w:rsidR="0054334D">
        <w:t>zugänglich werden</w:t>
      </w:r>
      <w:r>
        <w:t>; oder</w:t>
      </w:r>
    </w:p>
    <w:p w14:paraId="3B8D16D7" w14:textId="63B81155" w:rsidR="00791812" w:rsidRDefault="00791812" w:rsidP="00F24199">
      <w:pPr>
        <w:pStyle w:val="Listenabsatz"/>
        <w:numPr>
          <w:ilvl w:val="0"/>
          <w:numId w:val="2"/>
        </w:numPr>
        <w:spacing w:after="360"/>
        <w:ind w:left="1417" w:hanging="425"/>
        <w:contextualSpacing w:val="0"/>
        <w:jc w:val="both"/>
      </w:pPr>
      <w:r>
        <w:lastRenderedPageBreak/>
        <w:t xml:space="preserve">von einem Vertragspartner aufgrund einer gesetzlichen Bestimmung oder </w:t>
      </w:r>
      <w:r w:rsidR="0054334D">
        <w:t>einer gerichtlichen</w:t>
      </w:r>
      <w:r>
        <w:t xml:space="preserve"> oder behördlichen Anordnung oder einer Anfrage der Regulierungsbehörde, insbesondere der Bundesnetzagentur zur Führung des Nachweises der Einhaltung der Regelungen nach REGENT 202</w:t>
      </w:r>
      <w:r w:rsidR="00572EB9">
        <w:t>6</w:t>
      </w:r>
      <w:r>
        <w:t>, offengelegt werden müssen.</w:t>
      </w:r>
    </w:p>
    <w:p w14:paraId="2EB1FDAA" w14:textId="637D5D61" w:rsidR="00791812" w:rsidRDefault="00791812" w:rsidP="00F24199">
      <w:pPr>
        <w:pStyle w:val="Listenabsatz"/>
        <w:numPr>
          <w:ilvl w:val="0"/>
          <w:numId w:val="16"/>
        </w:numPr>
        <w:spacing w:after="360"/>
        <w:ind w:left="567" w:hanging="567"/>
        <w:contextualSpacing w:val="0"/>
        <w:jc w:val="both"/>
      </w:pPr>
      <w:r>
        <w:t>Die Pflicht zur Einhaltung der Vertraulichkeit endet 2 Jahre nach dem Ende des jeweiligen Vertrages.</w:t>
      </w:r>
    </w:p>
    <w:p w14:paraId="7D5D2823" w14:textId="1B45E0DF" w:rsidR="00791812" w:rsidRDefault="00791812" w:rsidP="00F24199">
      <w:pPr>
        <w:pStyle w:val="Listenabsatz"/>
        <w:numPr>
          <w:ilvl w:val="0"/>
          <w:numId w:val="16"/>
        </w:numPr>
        <w:ind w:left="567" w:hanging="567"/>
        <w:jc w:val="both"/>
      </w:pPr>
      <w:r>
        <w:t>§ 6a EnWG bleibt unberührt.</w:t>
      </w:r>
    </w:p>
    <w:p w14:paraId="6AF1AEBA" w14:textId="77777777" w:rsidR="00791812" w:rsidRDefault="00791812" w:rsidP="00F24199">
      <w:pPr>
        <w:jc w:val="both"/>
      </w:pPr>
    </w:p>
    <w:p w14:paraId="79D9CE8E" w14:textId="55C2955F" w:rsidR="00791812" w:rsidRPr="00791812" w:rsidRDefault="00791812" w:rsidP="00F24199">
      <w:pPr>
        <w:jc w:val="both"/>
        <w:rPr>
          <w:b/>
          <w:bCs/>
        </w:rPr>
      </w:pPr>
      <w:r w:rsidRPr="00791812">
        <w:rPr>
          <w:b/>
          <w:bCs/>
        </w:rPr>
        <w:t xml:space="preserve">§ 11 </w:t>
      </w:r>
      <w:r w:rsidR="00F2787D">
        <w:rPr>
          <w:b/>
          <w:bCs/>
        </w:rPr>
        <w:tab/>
      </w:r>
      <w:r w:rsidRPr="00791812">
        <w:rPr>
          <w:b/>
          <w:bCs/>
        </w:rPr>
        <w:t>Vertragslaufzeit und Kündigung</w:t>
      </w:r>
    </w:p>
    <w:p w14:paraId="3A134B2E" w14:textId="5D7FFB84" w:rsidR="00791812" w:rsidRDefault="00791812" w:rsidP="00F24199">
      <w:pPr>
        <w:pStyle w:val="Listenabsatz"/>
        <w:numPr>
          <w:ilvl w:val="1"/>
          <w:numId w:val="24"/>
        </w:numPr>
        <w:spacing w:after="360"/>
        <w:ind w:left="709" w:hanging="709"/>
        <w:contextualSpacing w:val="0"/>
        <w:jc w:val="both"/>
      </w:pPr>
      <w:r>
        <w:t>Dieser Vertrag tritt zum 01.</w:t>
      </w:r>
      <w:r w:rsidR="00085847">
        <w:t>0</w:t>
      </w:r>
      <w:r>
        <w:t>1.202</w:t>
      </w:r>
      <w:r w:rsidR="00085847">
        <w:t>6</w:t>
      </w:r>
      <w:r>
        <w:t>, 6:00 Uhr in Kraft und wird auf unbestimmte Zeit</w:t>
      </w:r>
      <w:r w:rsidR="00437856">
        <w:t xml:space="preserve"> </w:t>
      </w:r>
      <w:r>
        <w:t>geschlossen.</w:t>
      </w:r>
    </w:p>
    <w:p w14:paraId="2AB0CB49" w14:textId="331FDE45" w:rsidR="00791812" w:rsidRDefault="00791812" w:rsidP="00F24199">
      <w:pPr>
        <w:pStyle w:val="Listenabsatz"/>
        <w:numPr>
          <w:ilvl w:val="1"/>
          <w:numId w:val="24"/>
        </w:numPr>
        <w:spacing w:after="360"/>
        <w:ind w:left="709" w:hanging="709"/>
        <w:contextualSpacing w:val="0"/>
        <w:jc w:val="both"/>
      </w:pPr>
      <w:r>
        <w:t xml:space="preserve">Der Vertrag zwischen Netzbetreiber und Speicherbetreiber über die Umsetzung der Ziffer 2 Satz 2 des Tenors des Beschlusses von REGENT </w:t>
      </w:r>
      <w:r w:rsidR="00085847">
        <w:t xml:space="preserve">2021 </w:t>
      </w:r>
      <w:r>
        <w:t>vom [</w:t>
      </w:r>
      <w:proofErr w:type="spellStart"/>
      <w:r>
        <w:t>xx.</w:t>
      </w:r>
      <w:proofErr w:type="gramStart"/>
      <w:r>
        <w:t>xx.xxxx</w:t>
      </w:r>
      <w:proofErr w:type="spellEnd"/>
      <w:proofErr w:type="gramEnd"/>
      <w:r>
        <w:t>] wird mit Wirkung zum 01.</w:t>
      </w:r>
      <w:r w:rsidR="00085847">
        <w:t>0</w:t>
      </w:r>
      <w:r>
        <w:t>1.202</w:t>
      </w:r>
      <w:r w:rsidR="00085847">
        <w:t>6</w:t>
      </w:r>
      <w:r>
        <w:t>, 6:00 Uhr außer Kraft gesetzt.</w:t>
      </w:r>
    </w:p>
    <w:p w14:paraId="79190F39" w14:textId="10CC6072" w:rsidR="00791812" w:rsidRDefault="00791812" w:rsidP="00F24199">
      <w:pPr>
        <w:pStyle w:val="Listenabsatz"/>
        <w:numPr>
          <w:ilvl w:val="1"/>
          <w:numId w:val="24"/>
        </w:numPr>
        <w:spacing w:after="360"/>
        <w:ind w:left="709" w:hanging="709"/>
        <w:contextualSpacing w:val="0"/>
        <w:jc w:val="both"/>
      </w:pPr>
      <w:r>
        <w:t>Der Speicherbetreiber ist zur Kündigung dieses Vertrages mit Wirkung zum</w:t>
      </w:r>
      <w:r w:rsidR="00C90A70">
        <w:t xml:space="preserve"> </w:t>
      </w:r>
      <w:r>
        <w:t>1. April eines Kalenderjahres unter Wahrung einer Frist von 12 Monaten berechtigt.</w:t>
      </w:r>
    </w:p>
    <w:p w14:paraId="67B222AC" w14:textId="253C7386" w:rsidR="00791812" w:rsidRDefault="00791812" w:rsidP="00F24199">
      <w:pPr>
        <w:pStyle w:val="Listenabsatz"/>
        <w:numPr>
          <w:ilvl w:val="1"/>
          <w:numId w:val="24"/>
        </w:numPr>
        <w:ind w:left="709" w:hanging="709"/>
        <w:jc w:val="both"/>
      </w:pPr>
      <w:r>
        <w:t>Das Recht auf Kündigung aus wichtigem Grund bleibt unberührt. Ein wichtiger Grund liegt insbesondere vor, wenn REGENT 202</w:t>
      </w:r>
      <w:r w:rsidR="00085847">
        <w:t>6</w:t>
      </w:r>
      <w:r>
        <w:t xml:space="preserve"> ganz oder teilweise aufgehoben oder geändert wird und nicht gleichzeitig eine Festlegung erlassen wird, die den Regelungen der Ziffer 2 des Tenors von REGENT 202</w:t>
      </w:r>
      <w:r w:rsidR="00085847">
        <w:t>6</w:t>
      </w:r>
      <w:r>
        <w:t xml:space="preserve"> und der diesbezüglichen Begründung von REGENT 202</w:t>
      </w:r>
      <w:r w:rsidR="00085847">
        <w:t>6</w:t>
      </w:r>
      <w:r>
        <w:t xml:space="preserve"> entspricht, oder wenn der jeweils andere Vertragspartner trotz Abmahnung mit angemessener Fristsetzung gegen die Vorgaben dieses Vertrages verstößt.</w:t>
      </w:r>
    </w:p>
    <w:p w14:paraId="09E59BEE" w14:textId="77777777" w:rsidR="00FA0E69" w:rsidRDefault="00FA0E69" w:rsidP="00F24199">
      <w:pPr>
        <w:jc w:val="both"/>
      </w:pPr>
    </w:p>
    <w:p w14:paraId="37E908A3" w14:textId="51697537" w:rsidR="00791812" w:rsidRPr="00791812" w:rsidRDefault="00791812" w:rsidP="00F24199">
      <w:pPr>
        <w:jc w:val="both"/>
        <w:rPr>
          <w:b/>
          <w:bCs/>
        </w:rPr>
      </w:pPr>
      <w:r w:rsidRPr="00791812">
        <w:rPr>
          <w:b/>
          <w:bCs/>
        </w:rPr>
        <w:t xml:space="preserve">§ 12 </w:t>
      </w:r>
      <w:r w:rsidR="00F2787D">
        <w:rPr>
          <w:b/>
          <w:bCs/>
        </w:rPr>
        <w:tab/>
      </w:r>
      <w:r w:rsidRPr="00791812">
        <w:rPr>
          <w:b/>
          <w:bCs/>
        </w:rPr>
        <w:t>Anlagenverzeichnis</w:t>
      </w:r>
    </w:p>
    <w:p w14:paraId="0516AE39" w14:textId="7CD26BB0" w:rsidR="00FA0E69" w:rsidRDefault="00791812" w:rsidP="00F24199">
      <w:pPr>
        <w:jc w:val="both"/>
      </w:pPr>
      <w:r>
        <w:t>Die Anlage 1 ist Bestandteil dieses Vertrages.</w:t>
      </w:r>
    </w:p>
    <w:p w14:paraId="6EB2AB21" w14:textId="77777777" w:rsidR="00D56E79" w:rsidRDefault="00D56E79">
      <w:pPr>
        <w:rPr>
          <w:b/>
          <w:bCs/>
        </w:rPr>
      </w:pPr>
      <w:r>
        <w:rPr>
          <w:b/>
          <w:bCs/>
        </w:rPr>
        <w:br w:type="page"/>
      </w:r>
    </w:p>
    <w:p w14:paraId="2B1B2B97" w14:textId="5F6CDEF8" w:rsidR="00F24199" w:rsidRDefault="00791812" w:rsidP="00F24199">
      <w:pPr>
        <w:jc w:val="both"/>
        <w:rPr>
          <w:b/>
          <w:bCs/>
        </w:rPr>
      </w:pPr>
      <w:r w:rsidRPr="00791812">
        <w:rPr>
          <w:b/>
          <w:bCs/>
        </w:rPr>
        <w:lastRenderedPageBreak/>
        <w:t xml:space="preserve">Anlage 1: </w:t>
      </w:r>
      <w:r w:rsidR="00F24199">
        <w:rPr>
          <w:b/>
          <w:bCs/>
        </w:rPr>
        <w:t xml:space="preserve"> </w:t>
      </w:r>
    </w:p>
    <w:p w14:paraId="52C9FC3E" w14:textId="192E951D" w:rsidR="00791812" w:rsidRDefault="00791812" w:rsidP="00F24199">
      <w:pPr>
        <w:jc w:val="both"/>
        <w:rPr>
          <w:b/>
          <w:bCs/>
        </w:rPr>
      </w:pPr>
      <w:r w:rsidRPr="00791812">
        <w:rPr>
          <w:b/>
          <w:bCs/>
        </w:rPr>
        <w:t>Speicheranlage</w:t>
      </w:r>
      <w:r w:rsidR="00F24199">
        <w:rPr>
          <w:b/>
          <w:bCs/>
        </w:rPr>
        <w:t xml:space="preserve"> xxx</w:t>
      </w:r>
    </w:p>
    <w:p w14:paraId="1DDDD3B6" w14:textId="0710B630" w:rsidR="00F24199" w:rsidRPr="00F24199" w:rsidRDefault="00F24199" w:rsidP="00F24199">
      <w:pPr>
        <w:jc w:val="both"/>
      </w:pPr>
      <w:r w:rsidRPr="00F24199">
        <w:t xml:space="preserve">Speicherbetreiber: </w:t>
      </w:r>
      <w:r>
        <w:t>[</w:t>
      </w:r>
      <w:r w:rsidRPr="00F24199">
        <w:t>Speicherbetreiber</w:t>
      </w:r>
      <w:r>
        <w:t>]</w:t>
      </w:r>
    </w:p>
    <w:p w14:paraId="620FAC0E" w14:textId="78959A27" w:rsidR="00F24199" w:rsidRPr="00F24199" w:rsidRDefault="00F24199" w:rsidP="00F24199">
      <w:pPr>
        <w:jc w:val="both"/>
      </w:pPr>
      <w:r w:rsidRPr="00F24199">
        <w:t>Netzbetreiber: [Netzbetreiber]</w:t>
      </w:r>
    </w:p>
    <w:p w14:paraId="0E48851B" w14:textId="77777777" w:rsidR="00F24199" w:rsidRPr="00F24199" w:rsidRDefault="00F24199" w:rsidP="00F24199">
      <w:pPr>
        <w:jc w:val="both"/>
      </w:pPr>
    </w:p>
    <w:p w14:paraId="0F27257E" w14:textId="77777777" w:rsidR="00F24199" w:rsidRPr="00F24199" w:rsidRDefault="00F24199" w:rsidP="00F24199">
      <w:pPr>
        <w:jc w:val="both"/>
      </w:pPr>
      <w:r w:rsidRPr="00F24199">
        <w:t>Netzpunkte:</w:t>
      </w:r>
    </w:p>
    <w:p w14:paraId="6BD60D97" w14:textId="012CE6C3" w:rsidR="00F24199" w:rsidRPr="00F24199" w:rsidRDefault="00F24199" w:rsidP="00F24199">
      <w:pPr>
        <w:jc w:val="both"/>
      </w:pPr>
      <w:r w:rsidRPr="00F24199">
        <w:t xml:space="preserve">Einspeisepunkt in das Netz der [Netzbetreiber]: Netzpunkt </w:t>
      </w:r>
      <w:r>
        <w:t>xxx</w:t>
      </w:r>
    </w:p>
    <w:p w14:paraId="7CCC9BD4" w14:textId="0DCFDC94" w:rsidR="00F24199" w:rsidRPr="00F24199" w:rsidRDefault="00F24199" w:rsidP="00F24199">
      <w:pPr>
        <w:jc w:val="both"/>
      </w:pPr>
      <w:r w:rsidRPr="00F24199">
        <w:t xml:space="preserve">Ausspeisepunkt aus dem Netz der [Netzbetreiber]: Netzpunkt </w:t>
      </w:r>
      <w:r>
        <w:t>xxx</w:t>
      </w:r>
    </w:p>
    <w:sectPr w:rsidR="00F24199" w:rsidRPr="00F2419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697E1" w14:textId="77777777" w:rsidR="009A46B6" w:rsidRDefault="009A46B6" w:rsidP="00990119">
      <w:pPr>
        <w:spacing w:after="0" w:line="240" w:lineRule="auto"/>
      </w:pPr>
      <w:r>
        <w:separator/>
      </w:r>
    </w:p>
  </w:endnote>
  <w:endnote w:type="continuationSeparator" w:id="0">
    <w:p w14:paraId="3E8AEED2" w14:textId="77777777" w:rsidR="009A46B6" w:rsidRDefault="009A46B6" w:rsidP="0099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0DEA" w14:textId="77777777" w:rsidR="009A46B6" w:rsidRDefault="009A46B6" w:rsidP="00990119">
      <w:pPr>
        <w:spacing w:after="0" w:line="240" w:lineRule="auto"/>
      </w:pPr>
      <w:r>
        <w:separator/>
      </w:r>
    </w:p>
  </w:footnote>
  <w:footnote w:type="continuationSeparator" w:id="0">
    <w:p w14:paraId="4AC66A67" w14:textId="77777777" w:rsidR="009A46B6" w:rsidRDefault="009A46B6" w:rsidP="00990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F3E"/>
    <w:multiLevelType w:val="hybridMultilevel"/>
    <w:tmpl w:val="1B1EA7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793D20"/>
    <w:multiLevelType w:val="hybridMultilevel"/>
    <w:tmpl w:val="6794F1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FA072A"/>
    <w:multiLevelType w:val="hybridMultilevel"/>
    <w:tmpl w:val="78247AB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602D06"/>
    <w:multiLevelType w:val="hybridMultilevel"/>
    <w:tmpl w:val="F342B29C"/>
    <w:lvl w:ilvl="0" w:tplc="70D06DB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4814B8"/>
    <w:multiLevelType w:val="hybridMultilevel"/>
    <w:tmpl w:val="1B1EA7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030B2F"/>
    <w:multiLevelType w:val="hybridMultilevel"/>
    <w:tmpl w:val="0C0CA590"/>
    <w:lvl w:ilvl="0" w:tplc="FFFFFFFF">
      <w:start w:val="1"/>
      <w:numFmt w:val="decimal"/>
      <w:lvlText w:val="%1."/>
      <w:lvlJc w:val="left"/>
      <w:pPr>
        <w:ind w:left="720" w:hanging="360"/>
      </w:pPr>
    </w:lvl>
    <w:lvl w:ilvl="1" w:tplc="0407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4D75F1"/>
    <w:multiLevelType w:val="hybridMultilevel"/>
    <w:tmpl w:val="DAF0D1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A475EE9"/>
    <w:multiLevelType w:val="hybridMultilevel"/>
    <w:tmpl w:val="DC1834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B9791F"/>
    <w:multiLevelType w:val="hybridMultilevel"/>
    <w:tmpl w:val="019645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D579EC"/>
    <w:multiLevelType w:val="hybridMultilevel"/>
    <w:tmpl w:val="2B48C972"/>
    <w:lvl w:ilvl="0" w:tplc="70D06DB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83416B2"/>
    <w:multiLevelType w:val="hybridMultilevel"/>
    <w:tmpl w:val="CFC2031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BDC5812"/>
    <w:multiLevelType w:val="hybridMultilevel"/>
    <w:tmpl w:val="D5E44C0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06D7F68"/>
    <w:multiLevelType w:val="hybridMultilevel"/>
    <w:tmpl w:val="02BC48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A53373E"/>
    <w:multiLevelType w:val="hybridMultilevel"/>
    <w:tmpl w:val="F872BA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DEF461B"/>
    <w:multiLevelType w:val="hybridMultilevel"/>
    <w:tmpl w:val="1B1EA7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B13C16"/>
    <w:multiLevelType w:val="hybridMultilevel"/>
    <w:tmpl w:val="CAA23F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75A7A67"/>
    <w:multiLevelType w:val="hybridMultilevel"/>
    <w:tmpl w:val="13D090D8"/>
    <w:lvl w:ilvl="0" w:tplc="3CC6F192">
      <w:numFmt w:val="bullet"/>
      <w:lvlText w:val="•"/>
      <w:lvlJc w:val="left"/>
      <w:pPr>
        <w:ind w:left="1287" w:hanging="360"/>
      </w:pPr>
      <w:rPr>
        <w:rFonts w:ascii="Aptos" w:eastAsiaTheme="minorHAnsi" w:hAnsi="Aptos" w:cstheme="minorBidi"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7" w15:restartNumberingAfterBreak="0">
    <w:nsid w:val="4E4751A7"/>
    <w:multiLevelType w:val="hybridMultilevel"/>
    <w:tmpl w:val="0DA486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1E45DB1"/>
    <w:multiLevelType w:val="hybridMultilevel"/>
    <w:tmpl w:val="2BE082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13579A"/>
    <w:multiLevelType w:val="hybridMultilevel"/>
    <w:tmpl w:val="DA8608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92F201D"/>
    <w:multiLevelType w:val="hybridMultilevel"/>
    <w:tmpl w:val="F0F453DA"/>
    <w:lvl w:ilvl="0" w:tplc="70D06DB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D001E4F"/>
    <w:multiLevelType w:val="hybridMultilevel"/>
    <w:tmpl w:val="E48ED23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1B472DF"/>
    <w:multiLevelType w:val="hybridMultilevel"/>
    <w:tmpl w:val="664CE34A"/>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664E03C0"/>
    <w:multiLevelType w:val="hybridMultilevel"/>
    <w:tmpl w:val="1BE44880"/>
    <w:lvl w:ilvl="0" w:tplc="70D06DB0">
      <w:start w:val="1"/>
      <w:numFmt w:val="lowerLetter"/>
      <w:lvlText w:val="%1."/>
      <w:lvlJc w:val="left"/>
      <w:pPr>
        <w:ind w:left="720" w:hanging="360"/>
      </w:pPr>
      <w:rPr>
        <w:rFonts w:hint="default"/>
      </w:rPr>
    </w:lvl>
    <w:lvl w:ilvl="1" w:tplc="AC167C9E">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69E7594"/>
    <w:multiLevelType w:val="hybridMultilevel"/>
    <w:tmpl w:val="DF8A432E"/>
    <w:lvl w:ilvl="0" w:tplc="0407001B">
      <w:start w:val="1"/>
      <w:numFmt w:val="lowerRoman"/>
      <w:lvlText w:val="%1."/>
      <w:lvlJc w:val="righ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25" w15:restartNumberingAfterBreak="0">
    <w:nsid w:val="69FF2D86"/>
    <w:multiLevelType w:val="hybridMultilevel"/>
    <w:tmpl w:val="4EAC92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B76668A"/>
    <w:multiLevelType w:val="hybridMultilevel"/>
    <w:tmpl w:val="A9C44740"/>
    <w:lvl w:ilvl="0" w:tplc="3CC6F192">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12279C6"/>
    <w:multiLevelType w:val="hybridMultilevel"/>
    <w:tmpl w:val="ED4AB4E4"/>
    <w:lvl w:ilvl="0" w:tplc="FFFFFFFF">
      <w:start w:val="1"/>
      <w:numFmt w:val="decimal"/>
      <w:lvlText w:val="%1."/>
      <w:lvlJc w:val="left"/>
      <w:pPr>
        <w:ind w:left="720" w:hanging="360"/>
      </w:pPr>
    </w:lvl>
    <w:lvl w:ilvl="1" w:tplc="0407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824893"/>
    <w:multiLevelType w:val="hybridMultilevel"/>
    <w:tmpl w:val="7CBCD836"/>
    <w:lvl w:ilvl="0" w:tplc="FFFFFFFF">
      <w:start w:val="1"/>
      <w:numFmt w:val="decimal"/>
      <w:lvlText w:val="%1."/>
      <w:lvlJc w:val="left"/>
      <w:pPr>
        <w:ind w:left="720" w:hanging="360"/>
      </w:pPr>
    </w:lvl>
    <w:lvl w:ilvl="1" w:tplc="0407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442E97"/>
    <w:multiLevelType w:val="hybridMultilevel"/>
    <w:tmpl w:val="421A6E7E"/>
    <w:lvl w:ilvl="0" w:tplc="0407001B">
      <w:start w:val="1"/>
      <w:numFmt w:val="lowerRoman"/>
      <w:lvlText w:val="%1."/>
      <w:lvlJc w:val="righ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num w:numId="1" w16cid:durableId="971791597">
    <w:abstractNumId w:val="13"/>
  </w:num>
  <w:num w:numId="2" w16cid:durableId="903026879">
    <w:abstractNumId w:val="26"/>
  </w:num>
  <w:num w:numId="3" w16cid:durableId="861283987">
    <w:abstractNumId w:val="3"/>
  </w:num>
  <w:num w:numId="4" w16cid:durableId="744498234">
    <w:abstractNumId w:val="20"/>
  </w:num>
  <w:num w:numId="5" w16cid:durableId="402126">
    <w:abstractNumId w:val="23"/>
  </w:num>
  <w:num w:numId="6" w16cid:durableId="1426419362">
    <w:abstractNumId w:val="9"/>
  </w:num>
  <w:num w:numId="7" w16cid:durableId="1667786634">
    <w:abstractNumId w:val="21"/>
  </w:num>
  <w:num w:numId="8" w16cid:durableId="1090271610">
    <w:abstractNumId w:val="2"/>
  </w:num>
  <w:num w:numId="9" w16cid:durableId="1361324581">
    <w:abstractNumId w:val="7"/>
  </w:num>
  <w:num w:numId="10" w16cid:durableId="535850027">
    <w:abstractNumId w:val="6"/>
  </w:num>
  <w:num w:numId="11" w16cid:durableId="150147417">
    <w:abstractNumId w:val="16"/>
  </w:num>
  <w:num w:numId="12" w16cid:durableId="1613199327">
    <w:abstractNumId w:val="1"/>
  </w:num>
  <w:num w:numId="13" w16cid:durableId="1353530317">
    <w:abstractNumId w:val="19"/>
  </w:num>
  <w:num w:numId="14" w16cid:durableId="1118066534">
    <w:abstractNumId w:val="12"/>
  </w:num>
  <w:num w:numId="15" w16cid:durableId="1053309381">
    <w:abstractNumId w:val="17"/>
  </w:num>
  <w:num w:numId="16" w16cid:durableId="1911498643">
    <w:abstractNumId w:val="25"/>
  </w:num>
  <w:num w:numId="17" w16cid:durableId="1432630108">
    <w:abstractNumId w:val="8"/>
  </w:num>
  <w:num w:numId="18" w16cid:durableId="1079248683">
    <w:abstractNumId w:val="14"/>
  </w:num>
  <w:num w:numId="19" w16cid:durableId="284384906">
    <w:abstractNumId w:val="4"/>
  </w:num>
  <w:num w:numId="20" w16cid:durableId="1084571500">
    <w:abstractNumId w:val="15"/>
  </w:num>
  <w:num w:numId="21" w16cid:durableId="1964263199">
    <w:abstractNumId w:val="28"/>
  </w:num>
  <w:num w:numId="22" w16cid:durableId="1041369672">
    <w:abstractNumId w:val="0"/>
  </w:num>
  <w:num w:numId="23" w16cid:durableId="307050393">
    <w:abstractNumId w:val="11"/>
  </w:num>
  <w:num w:numId="24" w16cid:durableId="2059547427">
    <w:abstractNumId w:val="27"/>
  </w:num>
  <w:num w:numId="25" w16cid:durableId="1643005184">
    <w:abstractNumId w:val="24"/>
  </w:num>
  <w:num w:numId="26" w16cid:durableId="1781681289">
    <w:abstractNumId w:val="29"/>
  </w:num>
  <w:num w:numId="27" w16cid:durableId="1533152157">
    <w:abstractNumId w:val="10"/>
  </w:num>
  <w:num w:numId="28" w16cid:durableId="1102455135">
    <w:abstractNumId w:val="5"/>
  </w:num>
  <w:num w:numId="29" w16cid:durableId="1041176569">
    <w:abstractNumId w:val="18"/>
  </w:num>
  <w:num w:numId="30" w16cid:durableId="13451287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12"/>
    <w:rsid w:val="0001266F"/>
    <w:rsid w:val="00036326"/>
    <w:rsid w:val="00085847"/>
    <w:rsid w:val="000A2022"/>
    <w:rsid w:val="000D2F0B"/>
    <w:rsid w:val="002157EE"/>
    <w:rsid w:val="00273750"/>
    <w:rsid w:val="00294F93"/>
    <w:rsid w:val="002B1FC0"/>
    <w:rsid w:val="002E4335"/>
    <w:rsid w:val="002F32C3"/>
    <w:rsid w:val="0035010E"/>
    <w:rsid w:val="003834AB"/>
    <w:rsid w:val="003C48F7"/>
    <w:rsid w:val="0043734A"/>
    <w:rsid w:val="00437856"/>
    <w:rsid w:val="00463AC1"/>
    <w:rsid w:val="00473EE1"/>
    <w:rsid w:val="004F1186"/>
    <w:rsid w:val="00516E03"/>
    <w:rsid w:val="0054334D"/>
    <w:rsid w:val="005472FA"/>
    <w:rsid w:val="0056108E"/>
    <w:rsid w:val="00572EB9"/>
    <w:rsid w:val="005A4D77"/>
    <w:rsid w:val="005A7F43"/>
    <w:rsid w:val="005B4D5B"/>
    <w:rsid w:val="005C00D1"/>
    <w:rsid w:val="00600684"/>
    <w:rsid w:val="006152BF"/>
    <w:rsid w:val="00667D7D"/>
    <w:rsid w:val="006F49A9"/>
    <w:rsid w:val="00700C90"/>
    <w:rsid w:val="00707AC4"/>
    <w:rsid w:val="00791812"/>
    <w:rsid w:val="007A58A6"/>
    <w:rsid w:val="007F218B"/>
    <w:rsid w:val="00856E85"/>
    <w:rsid w:val="0088048C"/>
    <w:rsid w:val="008F0409"/>
    <w:rsid w:val="00926EBC"/>
    <w:rsid w:val="00934381"/>
    <w:rsid w:val="00954E1B"/>
    <w:rsid w:val="00990119"/>
    <w:rsid w:val="009A46B6"/>
    <w:rsid w:val="009D5D6C"/>
    <w:rsid w:val="009D710A"/>
    <w:rsid w:val="00A7490B"/>
    <w:rsid w:val="00BE20D0"/>
    <w:rsid w:val="00C90A70"/>
    <w:rsid w:val="00CF4FF3"/>
    <w:rsid w:val="00D178E7"/>
    <w:rsid w:val="00D56E79"/>
    <w:rsid w:val="00DA5D7F"/>
    <w:rsid w:val="00DB0FB7"/>
    <w:rsid w:val="00E21CAD"/>
    <w:rsid w:val="00EA7EC8"/>
    <w:rsid w:val="00EC47F4"/>
    <w:rsid w:val="00F015C3"/>
    <w:rsid w:val="00F215BC"/>
    <w:rsid w:val="00F21B2E"/>
    <w:rsid w:val="00F24199"/>
    <w:rsid w:val="00F2787D"/>
    <w:rsid w:val="00F615CA"/>
    <w:rsid w:val="00F7576F"/>
    <w:rsid w:val="00FA0E69"/>
    <w:rsid w:val="00FA3B44"/>
    <w:rsid w:val="00FB0E99"/>
    <w:rsid w:val="00FC2D21"/>
    <w:rsid w:val="00FE10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79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91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91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9181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9181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9181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9181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181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181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181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181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9181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9181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9181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9181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9181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181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181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1812"/>
    <w:rPr>
      <w:rFonts w:eastAsiaTheme="majorEastAsia" w:cstheme="majorBidi"/>
      <w:color w:val="272727" w:themeColor="text1" w:themeTint="D8"/>
    </w:rPr>
  </w:style>
  <w:style w:type="paragraph" w:styleId="Titel">
    <w:name w:val="Title"/>
    <w:basedOn w:val="Standard"/>
    <w:next w:val="Standard"/>
    <w:link w:val="TitelZchn"/>
    <w:uiPriority w:val="10"/>
    <w:qFormat/>
    <w:rsid w:val="00791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181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181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181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181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91812"/>
    <w:rPr>
      <w:i/>
      <w:iCs/>
      <w:color w:val="404040" w:themeColor="text1" w:themeTint="BF"/>
    </w:rPr>
  </w:style>
  <w:style w:type="paragraph" w:styleId="Listenabsatz">
    <w:name w:val="List Paragraph"/>
    <w:basedOn w:val="Standard"/>
    <w:uiPriority w:val="34"/>
    <w:qFormat/>
    <w:rsid w:val="00791812"/>
    <w:pPr>
      <w:ind w:left="720"/>
      <w:contextualSpacing/>
    </w:pPr>
  </w:style>
  <w:style w:type="character" w:styleId="IntensiveHervorhebung">
    <w:name w:val="Intense Emphasis"/>
    <w:basedOn w:val="Absatz-Standardschriftart"/>
    <w:uiPriority w:val="21"/>
    <w:qFormat/>
    <w:rsid w:val="00791812"/>
    <w:rPr>
      <w:i/>
      <w:iCs/>
      <w:color w:val="0F4761" w:themeColor="accent1" w:themeShade="BF"/>
    </w:rPr>
  </w:style>
  <w:style w:type="paragraph" w:styleId="IntensivesZitat">
    <w:name w:val="Intense Quote"/>
    <w:basedOn w:val="Standard"/>
    <w:next w:val="Standard"/>
    <w:link w:val="IntensivesZitatZchn"/>
    <w:uiPriority w:val="30"/>
    <w:qFormat/>
    <w:rsid w:val="00791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91812"/>
    <w:rPr>
      <w:i/>
      <w:iCs/>
      <w:color w:val="0F4761" w:themeColor="accent1" w:themeShade="BF"/>
    </w:rPr>
  </w:style>
  <w:style w:type="character" w:styleId="IntensiverVerweis">
    <w:name w:val="Intense Reference"/>
    <w:basedOn w:val="Absatz-Standardschriftart"/>
    <w:uiPriority w:val="32"/>
    <w:qFormat/>
    <w:rsid w:val="00791812"/>
    <w:rPr>
      <w:b/>
      <w:bCs/>
      <w:smallCaps/>
      <w:color w:val="0F4761" w:themeColor="accent1" w:themeShade="BF"/>
      <w:spacing w:val="5"/>
    </w:rPr>
  </w:style>
  <w:style w:type="paragraph" w:styleId="berarbeitung">
    <w:name w:val="Revision"/>
    <w:hidden/>
    <w:uiPriority w:val="99"/>
    <w:semiHidden/>
    <w:rsid w:val="00437856"/>
    <w:pPr>
      <w:spacing w:after="0" w:line="240" w:lineRule="auto"/>
    </w:pPr>
  </w:style>
  <w:style w:type="paragraph" w:styleId="Kopfzeile">
    <w:name w:val="header"/>
    <w:basedOn w:val="Standard"/>
    <w:link w:val="KopfzeileZchn"/>
    <w:uiPriority w:val="99"/>
    <w:unhideWhenUsed/>
    <w:rsid w:val="009901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90119"/>
  </w:style>
  <w:style w:type="paragraph" w:styleId="Fuzeile">
    <w:name w:val="footer"/>
    <w:basedOn w:val="Standard"/>
    <w:link w:val="FuzeileZchn"/>
    <w:uiPriority w:val="99"/>
    <w:unhideWhenUsed/>
    <w:rsid w:val="009901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0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68392761554994CAA814063154301AE" ma:contentTypeVersion="3" ma:contentTypeDescription="Ein neues Dokument erstellen." ma:contentTypeScope="" ma:versionID="169e78852dfee60c59686cb3217194d2">
  <xsd:schema xmlns:xsd="http://www.w3.org/2001/XMLSchema" xmlns:xs="http://www.w3.org/2001/XMLSchema" xmlns:p="http://schemas.microsoft.com/office/2006/metadata/properties" xmlns:ns2="6764755e-903f-480e-92c3-4346b9345bee" targetNamespace="http://schemas.microsoft.com/office/2006/metadata/properties" ma:root="true" ma:fieldsID="0609ca52a441a443581d9d4f26c1621c" ns2:_="">
    <xsd:import namespace="6764755e-903f-480e-92c3-4346b9345be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4755e-903f-480e-92c3-4346b9345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9E737-F331-48CB-BB45-C6FF060DE067}">
  <ds:schemaRefs>
    <ds:schemaRef ds:uri="http://schemas.microsoft.com/sharepoint/v3/contenttype/forms"/>
  </ds:schemaRefs>
</ds:datastoreItem>
</file>

<file path=customXml/itemProps2.xml><?xml version="1.0" encoding="utf-8"?>
<ds:datastoreItem xmlns:ds="http://schemas.openxmlformats.org/officeDocument/2006/customXml" ds:itemID="{F09B0E90-2C4E-4477-8293-777B6058AD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DE186B-B0C0-4E7A-BE62-BC4E60E78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4755e-903f-480e-92c3-4346b9345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2098</Words>
  <Characters>13219</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2025-11-28T10:44:00Z</dcterms:created>
  <dcterms:modified xsi:type="dcterms:W3CDTF">2025-12-03T13:43:00Z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1522120037</vt:i4>
  </property>
  <property fmtid="{D5CDD505-2E9C-101B-9397-08002B2CF9AE}" pid="3" name="_NewReviewCycle">
    <vt:lpwstr/>
  </property>
  <property fmtid="{D5CDD505-2E9C-101B-9397-08002B2CF9AE}" pid="4" name="_PreviousAdHocReviewCycleID">
    <vt:i4>-140823135</vt:i4>
  </property>
  <property fmtid="{D5CDD505-2E9C-101B-9397-08002B2CF9AE}" pid="5" name="ContentTypeId">
    <vt:lpwstr>0x010100468392761554994CAA814063154301AE</vt:lpwstr>
  </property>
</Properties>
</file>