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7433D" w14:textId="77777777" w:rsidR="00B81DEA" w:rsidRDefault="00F924B3" w:rsidP="00E61504">
      <w:pPr>
        <w:spacing w:line="264" w:lineRule="auto"/>
        <w:outlineLvl w:val="0"/>
        <w:rPr>
          <w:rFonts w:eastAsia="Times New Roman" w:cstheme="minorHAnsi"/>
          <w:b/>
          <w:sz w:val="28"/>
          <w:szCs w:val="28"/>
          <w:lang w:eastAsia="de-DE"/>
        </w:rPr>
      </w:pPr>
      <w:r w:rsidRPr="00A37F20">
        <w:rPr>
          <w:rFonts w:eastAsia="Times New Roman" w:cstheme="minorHAnsi"/>
          <w:b/>
          <w:sz w:val="28"/>
          <w:szCs w:val="28"/>
          <w:lang w:eastAsia="de-DE"/>
        </w:rPr>
        <w:t>Information</w:t>
      </w:r>
      <w:r w:rsidR="00A02E35" w:rsidRPr="00A37F20">
        <w:rPr>
          <w:rFonts w:eastAsia="Times New Roman" w:cstheme="minorHAnsi"/>
          <w:b/>
          <w:sz w:val="28"/>
          <w:szCs w:val="28"/>
          <w:lang w:eastAsia="de-DE"/>
        </w:rPr>
        <w:t xml:space="preserve"> </w:t>
      </w:r>
      <w:r w:rsidR="008F279F" w:rsidRPr="00A37F20">
        <w:rPr>
          <w:rFonts w:eastAsia="Times New Roman" w:cstheme="minorHAnsi"/>
          <w:b/>
          <w:sz w:val="28"/>
          <w:szCs w:val="28"/>
          <w:lang w:eastAsia="de-DE"/>
        </w:rPr>
        <w:t xml:space="preserve">für Eigenversorger – </w:t>
      </w:r>
      <w:r w:rsidR="007F5140" w:rsidRPr="00A37F20">
        <w:rPr>
          <w:rFonts w:eastAsia="Times New Roman" w:cstheme="minorHAnsi"/>
          <w:b/>
          <w:sz w:val="28"/>
          <w:szCs w:val="28"/>
          <w:lang w:eastAsia="de-DE"/>
        </w:rPr>
        <w:br/>
      </w:r>
      <w:r w:rsidR="00FC3EBE" w:rsidRPr="00A37F20">
        <w:rPr>
          <w:rFonts w:eastAsia="Times New Roman" w:cstheme="minorHAnsi"/>
          <w:b/>
          <w:sz w:val="28"/>
          <w:szCs w:val="28"/>
          <w:lang w:eastAsia="de-DE"/>
        </w:rPr>
        <w:t xml:space="preserve">Aktualisierung für das Kalenderjahr </w:t>
      </w:r>
      <w:r w:rsidR="007F5140" w:rsidRPr="00A37F20">
        <w:rPr>
          <w:rFonts w:eastAsia="Times New Roman" w:cstheme="minorHAnsi"/>
          <w:b/>
          <w:sz w:val="28"/>
          <w:szCs w:val="28"/>
          <w:lang w:eastAsia="de-DE"/>
        </w:rPr>
        <w:t>2021 für das EEG 2021</w:t>
      </w:r>
      <w:r w:rsidR="00B81DEA">
        <w:rPr>
          <w:rFonts w:eastAsia="Times New Roman" w:cstheme="minorHAnsi"/>
          <w:b/>
          <w:sz w:val="28"/>
          <w:szCs w:val="28"/>
          <w:lang w:eastAsia="de-DE"/>
        </w:rPr>
        <w:t>-2</w:t>
      </w:r>
    </w:p>
    <w:p w14:paraId="264EC978" w14:textId="77777777" w:rsidR="00B81DEA" w:rsidRDefault="00B81DEA" w:rsidP="00B81DEA">
      <w:pPr>
        <w:spacing w:line="264" w:lineRule="auto"/>
        <w:outlineLvl w:val="0"/>
        <w:rPr>
          <w:rFonts w:eastAsia="Times New Roman" w:cstheme="minorHAnsi"/>
          <w:b/>
          <w:sz w:val="28"/>
          <w:szCs w:val="28"/>
          <w:lang w:eastAsia="de-DE"/>
        </w:rPr>
      </w:pPr>
    </w:p>
    <w:p w14:paraId="6F86F584" w14:textId="5849B1AA" w:rsidR="00F924B3" w:rsidRPr="003366BC" w:rsidRDefault="00B81DEA">
      <w:pPr>
        <w:spacing w:line="264" w:lineRule="auto"/>
        <w:outlineLvl w:val="0"/>
        <w:rPr>
          <w:rFonts w:eastAsia="Times New Roman" w:cstheme="minorHAnsi"/>
          <w:b/>
          <w:sz w:val="28"/>
          <w:szCs w:val="28"/>
          <w:lang w:eastAsia="de-DE"/>
        </w:rPr>
      </w:pPr>
      <w:r>
        <w:rPr>
          <w:rFonts w:eastAsia="Times New Roman" w:cstheme="minorHAnsi"/>
          <w:b/>
          <w:sz w:val="28"/>
          <w:szCs w:val="28"/>
          <w:lang w:eastAsia="de-DE"/>
        </w:rPr>
        <w:t xml:space="preserve">Stand: August 2021 - berücksichtigt EEG-Änderungen durch das </w:t>
      </w:r>
      <w:r w:rsidRPr="00B81DEA">
        <w:rPr>
          <w:rFonts w:eastAsia="Times New Roman" w:cstheme="minorHAnsi"/>
          <w:b/>
          <w:sz w:val="28"/>
          <w:szCs w:val="28"/>
          <w:lang w:eastAsia="de-DE"/>
        </w:rPr>
        <w:t>„Gesetz zur Umsetzung unionsrechtlicher Vorgaben und zur Regelung reiner Wasserstoffnetze im Energiewirtschaftsrecht“</w:t>
      </w:r>
      <w:r>
        <w:rPr>
          <w:rFonts w:eastAsia="Times New Roman" w:cstheme="minorHAnsi"/>
          <w:b/>
          <w:sz w:val="28"/>
          <w:szCs w:val="28"/>
          <w:lang w:eastAsia="de-DE"/>
        </w:rPr>
        <w:t>, „EEG-2021-2“</w:t>
      </w:r>
      <w:r w:rsidRPr="00B81DEA">
        <w:rPr>
          <w:rFonts w:eastAsia="Times New Roman" w:cstheme="minorHAnsi"/>
          <w:b/>
          <w:sz w:val="28"/>
          <w:szCs w:val="28"/>
          <w:lang w:eastAsia="de-DE"/>
        </w:rPr>
        <w:t xml:space="preserve"> </w:t>
      </w:r>
    </w:p>
    <w:p w14:paraId="7D5B6F33" w14:textId="77777777" w:rsidR="007F5140" w:rsidRPr="00A37F20" w:rsidRDefault="007F5140" w:rsidP="00F924B3">
      <w:pPr>
        <w:rPr>
          <w:rFonts w:eastAsia="Times New Roman" w:cstheme="minorHAnsi"/>
          <w:b/>
          <w:sz w:val="16"/>
          <w:szCs w:val="16"/>
          <w:lang w:eastAsia="de-DE"/>
        </w:rPr>
      </w:pPr>
      <w:bookmarkStart w:id="0" w:name="schlagzeile"/>
      <w:bookmarkEnd w:id="0"/>
    </w:p>
    <w:p w14:paraId="531B2E59" w14:textId="77777777" w:rsidR="00F924B3" w:rsidRPr="00A37F20" w:rsidRDefault="00F924B3" w:rsidP="00F924B3">
      <w:pPr>
        <w:rPr>
          <w:rFonts w:eastAsia="Times New Roman" w:cstheme="minorHAnsi"/>
          <w:b/>
          <w:sz w:val="16"/>
          <w:szCs w:val="16"/>
          <w:lang w:eastAsia="de-DE"/>
        </w:rPr>
      </w:pPr>
    </w:p>
    <w:p w14:paraId="4182E4F4" w14:textId="2C769035" w:rsidR="007F5140" w:rsidRPr="00A37F20" w:rsidRDefault="000D4EE2" w:rsidP="003206CC">
      <w:pPr>
        <w:spacing w:line="276" w:lineRule="auto"/>
        <w:rPr>
          <w:rFonts w:eastAsia="Times New Roman" w:cstheme="minorHAnsi"/>
          <w:lang w:eastAsia="de-DE"/>
        </w:rPr>
      </w:pPr>
      <w:r w:rsidRPr="00A37F20">
        <w:rPr>
          <w:rFonts w:eastAsia="Times New Roman" w:cstheme="minorHAnsi"/>
          <w:lang w:eastAsia="de-DE"/>
        </w:rPr>
        <w:t xml:space="preserve">Für das Kalenderjahr </w:t>
      </w:r>
      <w:r w:rsidR="00C44995" w:rsidRPr="00A37F20">
        <w:rPr>
          <w:rFonts w:eastAsia="Times New Roman" w:cstheme="minorHAnsi"/>
          <w:lang w:eastAsia="de-DE"/>
        </w:rPr>
        <w:t>20</w:t>
      </w:r>
      <w:r w:rsidR="007F5140" w:rsidRPr="00A37F20">
        <w:rPr>
          <w:rFonts w:eastAsia="Times New Roman" w:cstheme="minorHAnsi"/>
          <w:lang w:eastAsia="de-DE"/>
        </w:rPr>
        <w:t>21</w:t>
      </w:r>
      <w:r w:rsidR="00C44995" w:rsidRPr="00A37F20">
        <w:rPr>
          <w:rFonts w:eastAsia="Times New Roman" w:cstheme="minorHAnsi"/>
          <w:lang w:eastAsia="de-DE"/>
        </w:rPr>
        <w:t xml:space="preserve"> </w:t>
      </w:r>
      <w:r w:rsidRPr="00A37F20">
        <w:rPr>
          <w:rFonts w:eastAsia="Times New Roman" w:cstheme="minorHAnsi"/>
          <w:lang w:eastAsia="de-DE"/>
        </w:rPr>
        <w:t xml:space="preserve">haben sich </w:t>
      </w:r>
      <w:r w:rsidR="005D636B" w:rsidRPr="00A37F20">
        <w:rPr>
          <w:rFonts w:eastAsia="Times New Roman" w:cstheme="minorHAnsi"/>
          <w:lang w:eastAsia="de-DE"/>
        </w:rPr>
        <w:t xml:space="preserve">durch </w:t>
      </w:r>
      <w:r w:rsidR="00B81419" w:rsidRPr="00A37F20">
        <w:rPr>
          <w:rFonts w:eastAsia="Times New Roman" w:cstheme="minorHAnsi"/>
          <w:lang w:eastAsia="de-DE"/>
        </w:rPr>
        <w:t xml:space="preserve">das </w:t>
      </w:r>
      <w:r w:rsidR="007F5140" w:rsidRPr="00A37F20">
        <w:rPr>
          <w:rFonts w:eastAsia="Times New Roman" w:cstheme="minorHAnsi"/>
          <w:lang w:eastAsia="de-DE"/>
        </w:rPr>
        <w:t xml:space="preserve">EEG 2021, das am 1. Januar 2021 in Kraft trat, </w:t>
      </w:r>
      <w:r w:rsidR="00B81DEA">
        <w:rPr>
          <w:rFonts w:eastAsia="Times New Roman" w:cstheme="minorHAnsi"/>
          <w:lang w:eastAsia="de-DE"/>
        </w:rPr>
        <w:t xml:space="preserve">und die EEG-Anpassungen durch </w:t>
      </w:r>
      <w:r w:rsidR="00B81DEA" w:rsidRPr="00B81DEA">
        <w:rPr>
          <w:rFonts w:eastAsia="Times New Roman" w:cstheme="minorHAnsi"/>
          <w:lang w:eastAsia="de-DE"/>
        </w:rPr>
        <w:t xml:space="preserve">das </w:t>
      </w:r>
      <w:r w:rsidR="00B81DEA" w:rsidRPr="003366BC">
        <w:rPr>
          <w:rFonts w:eastAsia="Times New Roman" w:cstheme="minorHAnsi"/>
          <w:lang w:eastAsia="de-DE"/>
        </w:rPr>
        <w:t>„Gesetz zur Umsetzung unionsrechtlicher Vorgaben und zur Regelung reiner Wasserstoffnetze im Energiewirtschaftsrecht“, (</w:t>
      </w:r>
      <w:hyperlink r:id="rId8" w:tgtFrame="_blank" w:history="1">
        <w:r w:rsidR="00B81DEA" w:rsidRPr="003366BC">
          <w:rPr>
            <w:rStyle w:val="Hyperlink"/>
            <w:rFonts w:eastAsia="Times New Roman" w:cstheme="minorHAnsi"/>
            <w:lang w:eastAsia="de-DE"/>
          </w:rPr>
          <w:t>BGBl I, 3026</w:t>
        </w:r>
      </w:hyperlink>
      <w:r w:rsidR="00773FA3">
        <w:rPr>
          <w:rFonts w:eastAsia="Times New Roman" w:cstheme="minorHAnsi"/>
          <w:lang w:eastAsia="de-DE"/>
        </w:rPr>
        <w:t>)</w:t>
      </w:r>
      <w:r w:rsidR="00B81DEA" w:rsidRPr="003366BC">
        <w:rPr>
          <w:rFonts w:eastAsia="Times New Roman" w:cstheme="minorHAnsi"/>
          <w:lang w:eastAsia="de-DE"/>
        </w:rPr>
        <w:t xml:space="preserve"> , das am </w:t>
      </w:r>
      <w:r w:rsidR="00B81DEA">
        <w:rPr>
          <w:rFonts w:eastAsia="Times New Roman" w:cstheme="minorHAnsi"/>
          <w:lang w:eastAsia="de-DE"/>
        </w:rPr>
        <w:t xml:space="preserve">27. Juli 2021 in Kraft trat, </w:t>
      </w:r>
      <w:r w:rsidR="005D636B" w:rsidRPr="00A37F20">
        <w:rPr>
          <w:rFonts w:eastAsia="Times New Roman" w:cstheme="minorHAnsi"/>
          <w:lang w:eastAsia="de-DE"/>
        </w:rPr>
        <w:t xml:space="preserve">verschiedene Änderungen bei der EEG-Umlagepflicht </w:t>
      </w:r>
      <w:r w:rsidR="007F5140" w:rsidRPr="00A37F20">
        <w:rPr>
          <w:rFonts w:eastAsia="Times New Roman" w:cstheme="minorHAnsi"/>
          <w:lang w:eastAsia="de-DE"/>
        </w:rPr>
        <w:t xml:space="preserve">ergeben, die in den aktualisierten Informations- und Meldebögen berücksichtigt werden. </w:t>
      </w:r>
    </w:p>
    <w:p w14:paraId="6E6D3285" w14:textId="77777777" w:rsidR="00B81DEA" w:rsidRDefault="00B81DEA" w:rsidP="003206CC">
      <w:pPr>
        <w:spacing w:line="276" w:lineRule="auto"/>
        <w:rPr>
          <w:rFonts w:eastAsia="Times New Roman" w:cstheme="minorHAnsi"/>
          <w:lang w:eastAsia="de-DE"/>
        </w:rPr>
      </w:pPr>
    </w:p>
    <w:p w14:paraId="54CDF17C" w14:textId="04DB5C36" w:rsidR="00CD5BCF" w:rsidRPr="00A37F20" w:rsidRDefault="007F5140" w:rsidP="003206CC">
      <w:pPr>
        <w:spacing w:line="276" w:lineRule="auto"/>
        <w:rPr>
          <w:rFonts w:eastAsia="Times New Roman" w:cstheme="minorHAnsi"/>
          <w:lang w:eastAsia="de-DE"/>
        </w:rPr>
      </w:pPr>
      <w:r w:rsidRPr="00A37F20">
        <w:rPr>
          <w:rFonts w:eastAsia="Times New Roman" w:cstheme="minorHAnsi"/>
          <w:lang w:eastAsia="de-DE"/>
        </w:rPr>
        <w:t>Dies sind</w:t>
      </w:r>
      <w:r w:rsidR="00487B03" w:rsidRPr="00A37F20">
        <w:rPr>
          <w:rFonts w:eastAsia="Times New Roman" w:cstheme="minorHAnsi"/>
          <w:lang w:eastAsia="de-DE"/>
        </w:rPr>
        <w:t xml:space="preserve"> insbesondere</w:t>
      </w:r>
      <w:r w:rsidRPr="00A37F20">
        <w:rPr>
          <w:rFonts w:eastAsia="Times New Roman" w:cstheme="minorHAnsi"/>
          <w:lang w:eastAsia="de-DE"/>
        </w:rPr>
        <w:t>:</w:t>
      </w:r>
    </w:p>
    <w:p w14:paraId="10C936EA" w14:textId="1E31B1AF" w:rsidR="005D636B" w:rsidRPr="00A37F20" w:rsidRDefault="005D636B" w:rsidP="00CD5BCF">
      <w:pPr>
        <w:pStyle w:val="Listenabsatz"/>
        <w:numPr>
          <w:ilvl w:val="0"/>
          <w:numId w:val="29"/>
        </w:numPr>
        <w:spacing w:before="120" w:after="120" w:line="276" w:lineRule="auto"/>
        <w:ind w:left="714" w:hanging="357"/>
        <w:rPr>
          <w:rFonts w:eastAsia="Times New Roman" w:cstheme="minorHAnsi"/>
          <w:lang w:eastAsia="de-DE"/>
        </w:rPr>
      </w:pPr>
      <w:r w:rsidRPr="00A37F20">
        <w:rPr>
          <w:rFonts w:eastAsia="Times New Roman" w:cstheme="minorHAnsi"/>
          <w:lang w:eastAsia="de-DE"/>
        </w:rPr>
        <w:t xml:space="preserve">Änderungen bei der EEG-Umlagepflicht für die Eigenversorgung aus </w:t>
      </w:r>
      <w:r w:rsidR="007F5140" w:rsidRPr="00A37F20">
        <w:rPr>
          <w:rFonts w:eastAsia="Times New Roman" w:cstheme="minorHAnsi"/>
          <w:lang w:eastAsia="de-DE"/>
        </w:rPr>
        <w:t xml:space="preserve">EEG-Anlagen bis 30 kW und </w:t>
      </w:r>
      <w:r w:rsidRPr="00A37F20">
        <w:rPr>
          <w:rFonts w:eastAsia="Times New Roman" w:cstheme="minorHAnsi"/>
          <w:lang w:eastAsia="de-DE"/>
        </w:rPr>
        <w:t>hocheffizienten KWK-Anlagen mit Aufnahme der Eigenversorgung seit dem 1. August 2014</w:t>
      </w:r>
      <w:r w:rsidR="002C1711">
        <w:rPr>
          <w:rFonts w:eastAsia="Times New Roman" w:cstheme="minorHAnsi"/>
          <w:lang w:eastAsia="de-DE"/>
        </w:rPr>
        <w:t>; seit dem 27. Juli 2021 sind die privilegierungsfähigen Strommengen nicht mehr auf 30 MWh/a begrenzt</w:t>
      </w:r>
    </w:p>
    <w:p w14:paraId="3DE1B61D" w14:textId="41C1A68F" w:rsidR="00487B03" w:rsidRPr="00A37F20" w:rsidRDefault="00487B03" w:rsidP="00CD5BCF">
      <w:pPr>
        <w:pStyle w:val="Listenabsatz"/>
        <w:numPr>
          <w:ilvl w:val="0"/>
          <w:numId w:val="29"/>
        </w:numPr>
        <w:spacing w:before="120" w:after="120" w:line="276" w:lineRule="auto"/>
        <w:ind w:left="714" w:hanging="357"/>
        <w:rPr>
          <w:rFonts w:eastAsia="Times New Roman" w:cstheme="minorHAnsi"/>
          <w:lang w:eastAsia="de-DE"/>
        </w:rPr>
      </w:pPr>
      <w:r w:rsidRPr="00A37F20">
        <w:rPr>
          <w:rFonts w:eastAsia="Times New Roman" w:cstheme="minorHAnsi"/>
          <w:lang w:eastAsia="de-DE"/>
        </w:rPr>
        <w:t xml:space="preserve">Änderungen bei der EEG-Umlagepflicht bei hocheffizienten KWK-Anlagen gelten sogar </w:t>
      </w:r>
      <w:r w:rsidRPr="00A37F20">
        <w:rPr>
          <w:rFonts w:eastAsia="Times New Roman" w:cstheme="minorHAnsi"/>
          <w:b/>
          <w:lang w:eastAsia="de-DE"/>
        </w:rPr>
        <w:t>rückwirkend zum 1. Januar 2019</w:t>
      </w:r>
      <w:r w:rsidRPr="00A37F20">
        <w:rPr>
          <w:rFonts w:eastAsia="Times New Roman" w:cstheme="minorHAnsi"/>
          <w:lang w:eastAsia="de-DE"/>
        </w:rPr>
        <w:t xml:space="preserve"> und sind damit auch schon für die Endabrechnung des Kalenderjahres 2020 </w:t>
      </w:r>
      <w:proofErr w:type="gramStart"/>
      <w:r w:rsidRPr="00A37F20">
        <w:rPr>
          <w:rFonts w:eastAsia="Times New Roman" w:cstheme="minorHAnsi"/>
          <w:lang w:eastAsia="de-DE"/>
        </w:rPr>
        <w:t>in 2021</w:t>
      </w:r>
      <w:proofErr w:type="gramEnd"/>
      <w:r w:rsidRPr="00A37F20">
        <w:rPr>
          <w:rFonts w:eastAsia="Times New Roman" w:cstheme="minorHAnsi"/>
          <w:lang w:eastAsia="de-DE"/>
        </w:rPr>
        <w:t xml:space="preserve"> relevant.</w:t>
      </w:r>
    </w:p>
    <w:p w14:paraId="124C6915" w14:textId="426FA674" w:rsidR="005D636B" w:rsidRDefault="007F5140" w:rsidP="00CD5BCF">
      <w:pPr>
        <w:pStyle w:val="Listenabsatz"/>
        <w:numPr>
          <w:ilvl w:val="0"/>
          <w:numId w:val="29"/>
        </w:numPr>
        <w:spacing w:before="120" w:after="120" w:line="276" w:lineRule="auto"/>
        <w:ind w:left="714" w:hanging="357"/>
        <w:rPr>
          <w:rFonts w:eastAsia="Times New Roman" w:cstheme="minorHAnsi"/>
          <w:lang w:eastAsia="de-DE"/>
        </w:rPr>
      </w:pPr>
      <w:r w:rsidRPr="00A37F20">
        <w:rPr>
          <w:rFonts w:eastAsia="Times New Roman" w:cstheme="minorHAnsi"/>
          <w:lang w:eastAsia="de-DE"/>
        </w:rPr>
        <w:t>Verlängerung der Übergangsfrist für die</w:t>
      </w:r>
      <w:r w:rsidR="005D636B" w:rsidRPr="00A37F20">
        <w:rPr>
          <w:rFonts w:eastAsia="Times New Roman" w:cstheme="minorHAnsi"/>
          <w:lang w:eastAsia="de-DE"/>
        </w:rPr>
        <w:t xml:space="preserve"> Messung und Schätzung von EEG-umlagepflichtigen Strommengen</w:t>
      </w:r>
      <w:r w:rsidRPr="00A37F20">
        <w:rPr>
          <w:rFonts w:eastAsia="Times New Roman" w:cstheme="minorHAnsi"/>
          <w:lang w:eastAsia="de-DE"/>
        </w:rPr>
        <w:t xml:space="preserve"> </w:t>
      </w:r>
    </w:p>
    <w:p w14:paraId="65B67FAB" w14:textId="737A41C4" w:rsidR="002C1711" w:rsidRDefault="002C1711" w:rsidP="002C1711">
      <w:pPr>
        <w:spacing w:before="120" w:after="120" w:line="276" w:lineRule="auto"/>
        <w:rPr>
          <w:rFonts w:eastAsia="Times New Roman" w:cstheme="minorHAnsi"/>
          <w:lang w:eastAsia="de-DE"/>
        </w:rPr>
      </w:pPr>
      <w:r>
        <w:rPr>
          <w:rFonts w:eastAsia="Times New Roman" w:cstheme="minorHAnsi"/>
          <w:lang w:eastAsia="de-DE"/>
        </w:rPr>
        <w:t>Änderungen bei der EEG-Umlagepflicht bei Speichereinsatz (§ 61l EEG 2021-2)</w:t>
      </w:r>
    </w:p>
    <w:p w14:paraId="411AA267" w14:textId="699435B8" w:rsidR="00821D24" w:rsidRPr="00A37F20" w:rsidRDefault="00C56A1E">
      <w:pPr>
        <w:spacing w:after="120" w:line="276" w:lineRule="auto"/>
        <w:rPr>
          <w:rFonts w:eastAsia="Times New Roman" w:cstheme="minorHAnsi"/>
          <w:b/>
          <w:color w:val="000000" w:themeColor="text1"/>
          <w:lang w:eastAsia="de-DE"/>
        </w:rPr>
      </w:pPr>
      <w:r w:rsidRPr="00A37F20">
        <w:rPr>
          <w:rFonts w:cstheme="minorHAnsi"/>
          <w:b/>
          <w:color w:val="000000" w:themeColor="text1"/>
        </w:rPr>
        <w:t xml:space="preserve">Für </w:t>
      </w:r>
      <w:r w:rsidR="003A60B6" w:rsidRPr="00A37F20">
        <w:rPr>
          <w:rFonts w:cstheme="minorHAnsi"/>
          <w:b/>
          <w:color w:val="000000" w:themeColor="text1"/>
        </w:rPr>
        <w:t>Betreiber von Bestandsanlagen</w:t>
      </w:r>
      <w:r w:rsidRPr="00A37F20">
        <w:rPr>
          <w:rFonts w:cstheme="minorHAnsi"/>
          <w:b/>
          <w:color w:val="000000" w:themeColor="text1"/>
        </w:rPr>
        <w:t>,</w:t>
      </w:r>
      <w:r w:rsidR="007F5140" w:rsidRPr="00BE4C02">
        <w:rPr>
          <w:rStyle w:val="Funotenzeichen"/>
          <w:rFonts w:cstheme="minorHAnsi"/>
          <w:b/>
          <w:color w:val="000000" w:themeColor="text1"/>
        </w:rPr>
        <w:footnoteReference w:id="1"/>
      </w:r>
      <w:r w:rsidRPr="00A37F20">
        <w:rPr>
          <w:rFonts w:cstheme="minorHAnsi"/>
          <w:b/>
          <w:color w:val="000000" w:themeColor="text1"/>
        </w:rPr>
        <w:t xml:space="preserve"> die keine Änderungen, also keine Erneuerung, Erweiterung oder Ersetzung vorgenommen haben, ist keine (erneute) Meldung erforderlich!</w:t>
      </w:r>
    </w:p>
    <w:p w14:paraId="35D531A5" w14:textId="789A27FD" w:rsidR="00C148EB" w:rsidRPr="00A37F20" w:rsidRDefault="00FB5FA5">
      <w:pPr>
        <w:spacing w:after="120" w:line="276" w:lineRule="auto"/>
        <w:rPr>
          <w:rFonts w:eastAsia="Times New Roman" w:cstheme="minorHAnsi"/>
          <w:b/>
          <w:lang w:eastAsia="de-DE"/>
        </w:rPr>
      </w:pPr>
      <w:r w:rsidRPr="00A37F20">
        <w:rPr>
          <w:rFonts w:eastAsia="Times New Roman" w:cstheme="minorHAnsi"/>
          <w:b/>
          <w:lang w:eastAsia="de-DE"/>
        </w:rPr>
        <w:t>Durch V</w:t>
      </w:r>
      <w:r w:rsidR="003A60B6" w:rsidRPr="00A37F20">
        <w:rPr>
          <w:rFonts w:eastAsia="Times New Roman" w:cstheme="minorHAnsi"/>
          <w:b/>
          <w:lang w:eastAsia="de-DE"/>
        </w:rPr>
        <w:t>erteilnetzbetreiber</w:t>
      </w:r>
      <w:r w:rsidRPr="00A37F20">
        <w:rPr>
          <w:rFonts w:eastAsia="Times New Roman" w:cstheme="minorHAnsi"/>
          <w:b/>
          <w:lang w:eastAsia="de-DE"/>
        </w:rPr>
        <w:t xml:space="preserve"> zu entscheiden, ob diese Passage jeweils verwendet werden soll:</w:t>
      </w:r>
    </w:p>
    <w:p w14:paraId="424260B4" w14:textId="4C935D85" w:rsidR="00C148EB" w:rsidRPr="00A37F20" w:rsidRDefault="00205AF6" w:rsidP="003538F2">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b/>
          <w:lang w:eastAsia="de-DE"/>
        </w:rPr>
      </w:pPr>
      <w:r w:rsidRPr="00A37F20">
        <w:rPr>
          <w:rFonts w:eastAsia="Times New Roman" w:cstheme="minorHAnsi"/>
          <w:b/>
          <w:lang w:eastAsia="de-DE"/>
        </w:rPr>
        <w:t>Die</w:t>
      </w:r>
      <w:r w:rsidR="008240D7" w:rsidRPr="00A37F20">
        <w:rPr>
          <w:rFonts w:eastAsia="Times New Roman" w:cstheme="minorHAnsi"/>
          <w:b/>
          <w:lang w:eastAsia="de-DE"/>
        </w:rPr>
        <w:t xml:space="preserve"> beigelegten/veröffentlichten Meldebögen stellen Formularvorgaben des Netzbetreibers nach §</w:t>
      </w:r>
      <w:r w:rsidR="001E1238">
        <w:rPr>
          <w:rFonts w:eastAsia="Times New Roman" w:cstheme="minorHAnsi"/>
          <w:b/>
          <w:lang w:eastAsia="de-DE"/>
        </w:rPr>
        <w:t> </w:t>
      </w:r>
      <w:r w:rsidR="008240D7" w:rsidRPr="00A37F20">
        <w:rPr>
          <w:rFonts w:eastAsia="Times New Roman" w:cstheme="minorHAnsi"/>
          <w:b/>
          <w:lang w:eastAsia="de-DE"/>
        </w:rPr>
        <w:t>74a Abs. 4 EEG 20</w:t>
      </w:r>
      <w:r w:rsidR="00487B03" w:rsidRPr="00A37F20">
        <w:rPr>
          <w:rFonts w:eastAsia="Times New Roman" w:cstheme="minorHAnsi"/>
          <w:b/>
          <w:lang w:eastAsia="de-DE"/>
        </w:rPr>
        <w:t>21</w:t>
      </w:r>
      <w:r w:rsidR="008240D7" w:rsidRPr="00A37F20">
        <w:rPr>
          <w:rFonts w:eastAsia="Times New Roman" w:cstheme="minorHAnsi"/>
          <w:b/>
          <w:lang w:eastAsia="de-DE"/>
        </w:rPr>
        <w:t xml:space="preserve"> dar und sind somit zwingend durch den Eigenversorger zu nutzen</w:t>
      </w:r>
      <w:r w:rsidR="00CD505C" w:rsidRPr="00A37F20">
        <w:rPr>
          <w:rFonts w:eastAsia="Times New Roman" w:cstheme="minorHAnsi"/>
          <w:b/>
          <w:lang w:eastAsia="de-DE"/>
        </w:rPr>
        <w:t xml:space="preserve">, soweit diese Angaben nicht bereits </w:t>
      </w:r>
      <w:r w:rsidR="00A74393" w:rsidRPr="00A37F20">
        <w:rPr>
          <w:rFonts w:eastAsia="Times New Roman" w:cstheme="minorHAnsi"/>
          <w:b/>
          <w:lang w:eastAsia="de-DE"/>
        </w:rPr>
        <w:t xml:space="preserve">auf </w:t>
      </w:r>
      <w:r w:rsidR="00CD505C" w:rsidRPr="00A37F20">
        <w:rPr>
          <w:rFonts w:eastAsia="Times New Roman" w:cstheme="minorHAnsi"/>
          <w:b/>
          <w:lang w:eastAsia="de-DE"/>
        </w:rPr>
        <w:t>Basis der geltenden Rechtslage erfolgt sind</w:t>
      </w:r>
      <w:r w:rsidR="008240D7" w:rsidRPr="00A37F20">
        <w:rPr>
          <w:rFonts w:eastAsia="Times New Roman" w:cstheme="minorHAnsi"/>
          <w:b/>
          <w:lang w:eastAsia="de-DE"/>
        </w:rPr>
        <w:t>. Andernfalls droht die Erhöhung der EEG-Umlage für die gemeldeten Strommengen nach § 61</w:t>
      </w:r>
      <w:r w:rsidR="009A78F7" w:rsidRPr="00A37F20">
        <w:rPr>
          <w:rFonts w:eastAsia="Times New Roman" w:cstheme="minorHAnsi"/>
          <w:b/>
          <w:lang w:eastAsia="de-DE"/>
        </w:rPr>
        <w:t>i</w:t>
      </w:r>
      <w:r w:rsidR="008240D7" w:rsidRPr="00A37F20">
        <w:rPr>
          <w:rFonts w:eastAsia="Times New Roman" w:cstheme="minorHAnsi"/>
          <w:b/>
          <w:lang w:eastAsia="de-DE"/>
        </w:rPr>
        <w:t xml:space="preserve"> EEG </w:t>
      </w:r>
      <w:r w:rsidR="007F5140" w:rsidRPr="00A37F20">
        <w:rPr>
          <w:rFonts w:eastAsia="Times New Roman" w:cstheme="minorHAnsi"/>
          <w:b/>
          <w:lang w:eastAsia="de-DE"/>
        </w:rPr>
        <w:t>2021</w:t>
      </w:r>
      <w:r w:rsidR="001E1238">
        <w:rPr>
          <w:rFonts w:eastAsia="Times New Roman" w:cstheme="minorHAnsi"/>
          <w:b/>
          <w:lang w:eastAsia="de-DE"/>
        </w:rPr>
        <w:t>.</w:t>
      </w:r>
    </w:p>
    <w:p w14:paraId="06672C6E" w14:textId="373522C5" w:rsidR="00C148EB" w:rsidRPr="00A37F20" w:rsidRDefault="00C148EB">
      <w:pPr>
        <w:spacing w:after="120" w:line="276" w:lineRule="auto"/>
        <w:rPr>
          <w:rFonts w:eastAsia="Times New Roman" w:cstheme="minorHAnsi"/>
          <w:b/>
          <w:lang w:eastAsia="de-DE"/>
        </w:rPr>
      </w:pPr>
    </w:p>
    <w:p w14:paraId="3FA7D862" w14:textId="592E0C0E" w:rsidR="00487B03" w:rsidRPr="00A37F20" w:rsidRDefault="007F5140">
      <w:pPr>
        <w:spacing w:after="120" w:line="276" w:lineRule="auto"/>
        <w:rPr>
          <w:rFonts w:eastAsia="Times New Roman" w:cstheme="minorHAnsi"/>
          <w:b/>
          <w:lang w:eastAsia="de-DE"/>
        </w:rPr>
      </w:pPr>
      <w:r w:rsidRPr="00A37F20">
        <w:rPr>
          <w:rFonts w:eastAsia="Times New Roman" w:cstheme="minorHAnsi"/>
          <w:b/>
          <w:lang w:eastAsia="de-DE"/>
        </w:rPr>
        <w:t xml:space="preserve">Änderungen für EEG-Anlagen bis 30 kW </w:t>
      </w:r>
      <w:r w:rsidR="00517A83" w:rsidRPr="00A37F20">
        <w:rPr>
          <w:rFonts w:eastAsia="Times New Roman" w:cstheme="minorHAnsi"/>
          <w:b/>
          <w:lang w:eastAsia="de-DE"/>
        </w:rPr>
        <w:t>(§ 61b Abs. 2 EEG 2021</w:t>
      </w:r>
      <w:r w:rsidR="002C1711">
        <w:rPr>
          <w:rFonts w:eastAsia="Times New Roman" w:cstheme="minorHAnsi"/>
          <w:b/>
          <w:lang w:eastAsia="de-DE"/>
        </w:rPr>
        <w:t>-2</w:t>
      </w:r>
      <w:r w:rsidR="00517A83" w:rsidRPr="00A37F20">
        <w:rPr>
          <w:rFonts w:eastAsia="Times New Roman" w:cstheme="minorHAnsi"/>
          <w:b/>
          <w:lang w:eastAsia="de-DE"/>
        </w:rPr>
        <w:t>)</w:t>
      </w:r>
    </w:p>
    <w:p w14:paraId="182B849A" w14:textId="15BD67E6" w:rsidR="00487B03" w:rsidRPr="00A37F20" w:rsidRDefault="00487B03">
      <w:pPr>
        <w:spacing w:after="120" w:line="276" w:lineRule="auto"/>
        <w:rPr>
          <w:rFonts w:eastAsia="Times New Roman" w:cstheme="minorHAnsi"/>
          <w:bCs/>
          <w:lang w:eastAsia="de-DE"/>
        </w:rPr>
      </w:pPr>
      <w:r w:rsidRPr="00A37F20">
        <w:rPr>
          <w:rFonts w:eastAsia="Times New Roman" w:cstheme="minorHAnsi"/>
          <w:bCs/>
          <w:lang w:eastAsia="de-DE"/>
        </w:rPr>
        <w:t>Für EEG-Anlagen mit einer Leistung bis 30 kW entfällt nach § 61b Abs. 2 EEG 2021 die EEG-Umlage bei Eigenversorgung. Diese neue Privilegierung gilt für alle EEG-Anlagen, also sowohl Anlagen mit Aufnahme der Eigenversorgung ab dem 1. August 2014 als auch generell Neuanlagen mit Inbetriebnahme ab dem 1. Januar 2021. Sollten EEG-Bestandsanlagen bspw. aufgrund einer Leistungserhöhung das Privileg einer auf null verringerten EEG-Umlage verlieren, käme diese neue Privilegierung ebenfalls in Betracht.</w:t>
      </w:r>
      <w:r w:rsidR="00517A83" w:rsidRPr="00A37F20">
        <w:rPr>
          <w:rFonts w:eastAsia="Times New Roman" w:cstheme="minorHAnsi"/>
          <w:bCs/>
          <w:lang w:eastAsia="de-DE"/>
        </w:rPr>
        <w:t xml:space="preserve"> Es </w:t>
      </w:r>
      <w:r w:rsidR="00517A83" w:rsidRPr="00A37F20">
        <w:rPr>
          <w:rFonts w:eastAsia="Times New Roman" w:cstheme="minorHAnsi"/>
          <w:bCs/>
          <w:lang w:eastAsia="de-DE"/>
        </w:rPr>
        <w:lastRenderedPageBreak/>
        <w:t xml:space="preserve">müssten dann aber die Voraussetzungen der Eigenversorgung, insbesondere hinsichtlich der räumlichen Kriterien, vorliegen. </w:t>
      </w:r>
      <w:r w:rsidR="00517A83" w:rsidRPr="00A37F20">
        <w:rPr>
          <w:rFonts w:eastAsia="Times New Roman" w:cstheme="minorHAnsi"/>
          <w:b/>
          <w:lang w:eastAsia="de-DE"/>
        </w:rPr>
        <w:t>Diese neue Kleinanlagenregelung gilt nur für EEG-Anlagen und damit auch Speicher, wenn sie ausschließlich mit Energie, die aus Erneuerbaren Energien oder Grubengas stammt, beladen werden (vgl. § 3 Nr. 1 2. Halbsatz EEG 2021).</w:t>
      </w:r>
      <w:r w:rsidR="00517A83" w:rsidRPr="00A37F20">
        <w:rPr>
          <w:rFonts w:eastAsia="Times New Roman" w:cstheme="minorHAnsi"/>
          <w:bCs/>
          <w:lang w:eastAsia="de-DE"/>
        </w:rPr>
        <w:t xml:space="preserve"> </w:t>
      </w:r>
      <w:r w:rsidRPr="00A37F20">
        <w:rPr>
          <w:rFonts w:eastAsia="Times New Roman" w:cstheme="minorHAnsi"/>
          <w:bCs/>
          <w:lang w:eastAsia="de-DE"/>
        </w:rPr>
        <w:t>Damit erübrigt sich für EEG-Anlagen die Kleinanlagenregelung des §</w:t>
      </w:r>
      <w:r w:rsidR="00517A83" w:rsidRPr="00A37F20">
        <w:rPr>
          <w:rFonts w:eastAsia="Times New Roman" w:cstheme="minorHAnsi"/>
          <w:bCs/>
          <w:lang w:eastAsia="de-DE"/>
        </w:rPr>
        <w:t> </w:t>
      </w:r>
      <w:r w:rsidRPr="00A37F20">
        <w:rPr>
          <w:rFonts w:eastAsia="Times New Roman" w:cstheme="minorHAnsi"/>
          <w:bCs/>
          <w:lang w:eastAsia="de-DE"/>
        </w:rPr>
        <w:t>61a Nr. 4 EEG 2021.</w:t>
      </w:r>
    </w:p>
    <w:p w14:paraId="062269BB" w14:textId="37FDCF0B" w:rsidR="00517A83" w:rsidRPr="00A37F20" w:rsidRDefault="00517A83">
      <w:pPr>
        <w:spacing w:after="120" w:line="276" w:lineRule="auto"/>
        <w:rPr>
          <w:rFonts w:eastAsia="Times New Roman" w:cstheme="minorHAnsi"/>
          <w:bCs/>
          <w:lang w:eastAsia="de-DE"/>
        </w:rPr>
      </w:pPr>
      <w:r w:rsidRPr="00A37F20">
        <w:rPr>
          <w:rFonts w:eastAsia="Times New Roman" w:cstheme="minorHAnsi"/>
          <w:bCs/>
          <w:lang w:eastAsia="de-DE"/>
        </w:rPr>
        <w:t>Durch die Regelung zur Zusammenfassung nach § 61b Abs. 2 Satz 2 EEG 2021 müssen ggf. auch Anlagen mit Aufnahme der Eigenversorgung vor dem 1. Januar 2021 und ab dem 1. Januar 2021 für die 30 kW-Leistungsgrenze zusammengefasst werden.</w:t>
      </w:r>
    </w:p>
    <w:p w14:paraId="74E6D850" w14:textId="3EC008A2" w:rsidR="007F5140" w:rsidRPr="003366BC" w:rsidRDefault="002C1711">
      <w:pPr>
        <w:spacing w:after="120" w:line="276" w:lineRule="auto"/>
        <w:rPr>
          <w:rFonts w:eastAsia="Times New Roman" w:cstheme="minorHAnsi"/>
          <w:bCs/>
          <w:lang w:eastAsia="de-DE"/>
        </w:rPr>
      </w:pPr>
      <w:r w:rsidRPr="009B2731">
        <w:rPr>
          <w:rFonts w:eastAsia="Times New Roman" w:cstheme="minorHAnsi"/>
          <w:bCs/>
          <w:lang w:eastAsia="de-DE"/>
        </w:rPr>
        <w:t>Die Begrenzung der privilegierungsfähigen Strommengen auf 30 MWh pro Jahr ist mit Inkrafttreten des EEG 2021-2 am 27. Juli 2021 entfallen. Für selbst verbrauchte Strommengen aus 30 kW-EEG-Anlagen fällt damit keine EEG-Umlage</w:t>
      </w:r>
      <w:r w:rsidR="00F86D79">
        <w:rPr>
          <w:rFonts w:eastAsia="Times New Roman" w:cstheme="minorHAnsi"/>
          <w:bCs/>
          <w:lang w:eastAsia="de-DE"/>
        </w:rPr>
        <w:t xml:space="preserve"> mehr </w:t>
      </w:r>
      <w:r w:rsidR="00F86D79" w:rsidRPr="009B2731">
        <w:rPr>
          <w:rFonts w:eastAsia="Times New Roman" w:cstheme="minorHAnsi"/>
          <w:bCs/>
          <w:lang w:eastAsia="de-DE"/>
        </w:rPr>
        <w:t>an</w:t>
      </w:r>
      <w:r w:rsidR="009E0B32" w:rsidRPr="009B2731">
        <w:rPr>
          <w:rFonts w:eastAsia="Times New Roman" w:cstheme="minorHAnsi"/>
          <w:bCs/>
          <w:lang w:eastAsia="de-DE"/>
        </w:rPr>
        <w:t>, jedenfalls</w:t>
      </w:r>
      <w:r w:rsidRPr="009B2731">
        <w:rPr>
          <w:rFonts w:eastAsia="Times New Roman" w:cstheme="minorHAnsi"/>
          <w:bCs/>
          <w:lang w:eastAsia="de-DE"/>
        </w:rPr>
        <w:t xml:space="preserve"> </w:t>
      </w:r>
      <w:r w:rsidR="00A73477" w:rsidRPr="009B2731">
        <w:rPr>
          <w:rFonts w:eastAsia="Times New Roman" w:cstheme="minorHAnsi"/>
          <w:bCs/>
          <w:lang w:eastAsia="de-DE"/>
        </w:rPr>
        <w:t>ab diesem Zeitpunkt</w:t>
      </w:r>
      <w:r w:rsidRPr="009B2731">
        <w:rPr>
          <w:rFonts w:eastAsia="Times New Roman" w:cstheme="minorHAnsi"/>
          <w:bCs/>
          <w:lang w:eastAsia="de-DE"/>
        </w:rPr>
        <w:t>.</w:t>
      </w:r>
      <w:r w:rsidR="00993B60" w:rsidRPr="009B2731">
        <w:rPr>
          <w:rFonts w:eastAsia="Times New Roman" w:cstheme="minorHAnsi"/>
          <w:bCs/>
          <w:lang w:eastAsia="de-DE"/>
        </w:rPr>
        <w:t xml:space="preserve"> </w:t>
      </w:r>
      <w:r w:rsidR="009E0B32" w:rsidRPr="009B2731">
        <w:rPr>
          <w:rFonts w:eastAsia="Times New Roman" w:cstheme="minorHAnsi"/>
          <w:bCs/>
          <w:lang w:eastAsia="de-DE"/>
        </w:rPr>
        <w:t xml:space="preserve">Rechtlich umstritten ist, ob dann, wenn </w:t>
      </w:r>
      <w:r w:rsidR="00A73477" w:rsidRPr="009B2731">
        <w:rPr>
          <w:rFonts w:eastAsia="Times New Roman" w:cstheme="minorHAnsi"/>
          <w:bCs/>
          <w:lang w:eastAsia="de-DE"/>
        </w:rPr>
        <w:t>in dem Zeitraum zwischen dem 01.01.2021 und dem 26.0</w:t>
      </w:r>
      <w:r w:rsidR="009B79C4" w:rsidRPr="009B2731">
        <w:rPr>
          <w:rFonts w:eastAsia="Times New Roman" w:cstheme="minorHAnsi"/>
          <w:bCs/>
          <w:lang w:eastAsia="de-DE"/>
        </w:rPr>
        <w:t>7</w:t>
      </w:r>
      <w:r w:rsidR="00A73477" w:rsidRPr="009B2731">
        <w:rPr>
          <w:rFonts w:eastAsia="Times New Roman" w:cstheme="minorHAnsi"/>
          <w:bCs/>
          <w:lang w:eastAsia="de-DE"/>
        </w:rPr>
        <w:t xml:space="preserve">.2021 bereits über 30.000 kWh </w:t>
      </w:r>
      <w:r w:rsidR="009E0B32" w:rsidRPr="009B2731">
        <w:rPr>
          <w:rFonts w:eastAsia="Times New Roman" w:cstheme="minorHAnsi"/>
          <w:bCs/>
          <w:lang w:eastAsia="de-DE"/>
        </w:rPr>
        <w:t>zur Eigenversorgung genutzt wurden</w:t>
      </w:r>
      <w:r w:rsidR="00A73477" w:rsidRPr="009B2731">
        <w:rPr>
          <w:rFonts w:eastAsia="Times New Roman" w:cstheme="minorHAnsi"/>
          <w:bCs/>
          <w:lang w:eastAsia="de-DE"/>
        </w:rPr>
        <w:t xml:space="preserve">, </w:t>
      </w:r>
      <w:r w:rsidR="00AE0B61" w:rsidRPr="009B2731">
        <w:rPr>
          <w:rFonts w:eastAsia="Times New Roman" w:cstheme="minorHAnsi"/>
          <w:bCs/>
          <w:lang w:eastAsia="de-DE"/>
        </w:rPr>
        <w:t>auf diese Menge je überschrittene kWh 40% der EEG-Umlage an</w:t>
      </w:r>
      <w:r w:rsidR="009E0B32" w:rsidRPr="009B2731">
        <w:rPr>
          <w:rFonts w:eastAsia="Times New Roman" w:cstheme="minorHAnsi"/>
          <w:bCs/>
          <w:lang w:eastAsia="de-DE"/>
        </w:rPr>
        <w:t>fällt</w:t>
      </w:r>
      <w:r w:rsidR="00AE0B61" w:rsidRPr="009B2731">
        <w:rPr>
          <w:rFonts w:eastAsia="Times New Roman" w:cstheme="minorHAnsi"/>
          <w:bCs/>
          <w:lang w:eastAsia="de-DE"/>
        </w:rPr>
        <w:t>.</w:t>
      </w:r>
      <w:r w:rsidR="00A73477" w:rsidRPr="009B2731">
        <w:rPr>
          <w:rFonts w:eastAsia="Times New Roman" w:cstheme="minorHAnsi"/>
          <w:bCs/>
          <w:lang w:eastAsia="de-DE"/>
        </w:rPr>
        <w:t xml:space="preserve"> </w:t>
      </w:r>
      <w:r w:rsidR="00AE0B61" w:rsidRPr="009B2731">
        <w:rPr>
          <w:rFonts w:eastAsia="Times New Roman" w:cstheme="minorHAnsi"/>
          <w:bCs/>
          <w:lang w:eastAsia="de-DE"/>
        </w:rPr>
        <w:t xml:space="preserve">Bei PV-Anlagen ist </w:t>
      </w:r>
      <w:r w:rsidR="009E0B32" w:rsidRPr="009B2731">
        <w:rPr>
          <w:rFonts w:eastAsia="Times New Roman" w:cstheme="minorHAnsi"/>
          <w:bCs/>
          <w:lang w:eastAsia="de-DE"/>
        </w:rPr>
        <w:t xml:space="preserve">jedoch </w:t>
      </w:r>
      <w:r w:rsidR="00AE0B61" w:rsidRPr="009B2731">
        <w:rPr>
          <w:rFonts w:eastAsia="Times New Roman" w:cstheme="minorHAnsi"/>
          <w:bCs/>
          <w:lang w:eastAsia="de-DE"/>
        </w:rPr>
        <w:t>bereits technisch ausgeschlossen, dass sie zum 26.0</w:t>
      </w:r>
      <w:r w:rsidR="009B79C4" w:rsidRPr="009B2731">
        <w:rPr>
          <w:rFonts w:eastAsia="Times New Roman" w:cstheme="minorHAnsi"/>
          <w:bCs/>
          <w:lang w:eastAsia="de-DE"/>
        </w:rPr>
        <w:t>7</w:t>
      </w:r>
      <w:r w:rsidR="00AE0B61" w:rsidRPr="009B2731">
        <w:rPr>
          <w:rFonts w:eastAsia="Times New Roman" w:cstheme="minorHAnsi"/>
          <w:bCs/>
          <w:lang w:eastAsia="de-DE"/>
        </w:rPr>
        <w:t xml:space="preserve">.2021 Strommengen über 30.000 kWh erzeugt haben. </w:t>
      </w:r>
      <w:r w:rsidR="009E0B32" w:rsidRPr="009B2731">
        <w:rPr>
          <w:rFonts w:eastAsia="Times New Roman" w:cstheme="minorHAnsi"/>
          <w:bCs/>
          <w:lang w:eastAsia="de-DE"/>
        </w:rPr>
        <w:t>Für Speicher bis 30 kW, die als EEG-Anlage gelten</w:t>
      </w:r>
      <w:r w:rsidR="008C1305" w:rsidRPr="009B2731">
        <w:rPr>
          <w:rFonts w:eastAsia="Times New Roman" w:cstheme="minorHAnsi"/>
          <w:bCs/>
          <w:lang w:eastAsia="de-DE"/>
        </w:rPr>
        <w:t>,</w:t>
      </w:r>
      <w:r w:rsidR="009E0B32" w:rsidRPr="009B2731">
        <w:rPr>
          <w:rFonts w:eastAsia="Times New Roman" w:cstheme="minorHAnsi"/>
          <w:bCs/>
          <w:lang w:eastAsia="de-DE"/>
        </w:rPr>
        <w:t xml:space="preserve"> oder andere EEG-Anlagen in dem Leistungssegment bis 30 kW kann dies nicht ausgeschlossen werden. In diesen Fällen ist eine Abstimmung mit dem Netzbetreiber anzuraten, der die EEG-Umlage im konkreten Fall erhebt.</w:t>
      </w:r>
    </w:p>
    <w:p w14:paraId="3CA2A518" w14:textId="77777777" w:rsidR="001E1238" w:rsidRPr="00A37F20" w:rsidRDefault="001E1238">
      <w:pPr>
        <w:spacing w:after="120" w:line="276" w:lineRule="auto"/>
        <w:rPr>
          <w:rFonts w:eastAsia="Times New Roman" w:cstheme="minorHAnsi"/>
          <w:b/>
          <w:lang w:eastAsia="de-DE"/>
        </w:rPr>
      </w:pPr>
    </w:p>
    <w:p w14:paraId="3F203F25" w14:textId="4C77883D" w:rsidR="00FD00D3" w:rsidRPr="00A37F20" w:rsidRDefault="00FD00D3" w:rsidP="003206CC">
      <w:pPr>
        <w:spacing w:line="276" w:lineRule="auto"/>
        <w:rPr>
          <w:rFonts w:eastAsia="Times New Roman" w:cstheme="minorHAnsi"/>
          <w:b/>
          <w:lang w:eastAsia="de-DE"/>
        </w:rPr>
      </w:pPr>
      <w:r w:rsidRPr="00A37F20">
        <w:rPr>
          <w:rFonts w:eastAsia="Times New Roman" w:cstheme="minorHAnsi"/>
          <w:b/>
          <w:lang w:eastAsia="de-DE"/>
        </w:rPr>
        <w:t>Änderungen für hocheffiziente KWK-Anlagen</w:t>
      </w:r>
      <w:r w:rsidR="00D33CCC" w:rsidRPr="00A37F20">
        <w:rPr>
          <w:rFonts w:eastAsia="Times New Roman" w:cstheme="minorHAnsi"/>
          <w:b/>
          <w:lang w:eastAsia="de-DE"/>
        </w:rPr>
        <w:t xml:space="preserve"> (§§ 61c und </w:t>
      </w:r>
      <w:r w:rsidR="00462097" w:rsidRPr="00A37F20">
        <w:rPr>
          <w:rFonts w:eastAsia="Times New Roman" w:cstheme="minorHAnsi"/>
          <w:b/>
          <w:lang w:eastAsia="de-DE"/>
        </w:rPr>
        <w:t>61</w:t>
      </w:r>
      <w:r w:rsidR="00D33CCC" w:rsidRPr="00A37F20">
        <w:rPr>
          <w:rFonts w:eastAsia="Times New Roman" w:cstheme="minorHAnsi"/>
          <w:b/>
          <w:lang w:eastAsia="de-DE"/>
        </w:rPr>
        <w:t>d EEG 20</w:t>
      </w:r>
      <w:r w:rsidR="007F5140" w:rsidRPr="00A37F20">
        <w:rPr>
          <w:rFonts w:eastAsia="Times New Roman" w:cstheme="minorHAnsi"/>
          <w:b/>
          <w:lang w:eastAsia="de-DE"/>
        </w:rPr>
        <w:t>21)</w:t>
      </w:r>
    </w:p>
    <w:p w14:paraId="53233759" w14:textId="77FCD44A" w:rsidR="00BF3606" w:rsidRPr="00A37F20" w:rsidRDefault="008240D7">
      <w:pPr>
        <w:spacing w:line="276" w:lineRule="auto"/>
        <w:rPr>
          <w:rFonts w:eastAsia="Times New Roman" w:cstheme="minorHAnsi"/>
          <w:lang w:eastAsia="de-DE"/>
        </w:rPr>
      </w:pPr>
      <w:r w:rsidRPr="00A37F20">
        <w:rPr>
          <w:rFonts w:eastAsia="Times New Roman" w:cstheme="minorHAnsi"/>
          <w:lang w:eastAsia="de-DE"/>
        </w:rPr>
        <w:t>Für eine Reduzierung der EEG-Umlage für die Eigenversorgung aus hocheffizienten KWK-Anlagen mit Aufnahme der Eigenversorgung seit dem 1. August 2014 finden sich in §§ 61c und</w:t>
      </w:r>
      <w:r w:rsidR="00462097" w:rsidRPr="00A37F20">
        <w:rPr>
          <w:rFonts w:eastAsia="Times New Roman" w:cstheme="minorHAnsi"/>
          <w:lang w:eastAsia="de-DE"/>
        </w:rPr>
        <w:t> 61</w:t>
      </w:r>
      <w:r w:rsidRPr="00A37F20">
        <w:rPr>
          <w:rFonts w:eastAsia="Times New Roman" w:cstheme="minorHAnsi"/>
          <w:lang w:eastAsia="de-DE"/>
        </w:rPr>
        <w:t xml:space="preserve">d EEG </w:t>
      </w:r>
      <w:r w:rsidR="007F5140" w:rsidRPr="00A37F20">
        <w:rPr>
          <w:rFonts w:eastAsia="Times New Roman" w:cstheme="minorHAnsi"/>
          <w:lang w:eastAsia="de-DE"/>
        </w:rPr>
        <w:t>2021</w:t>
      </w:r>
      <w:r w:rsidRPr="00A37F20">
        <w:rPr>
          <w:rFonts w:eastAsia="Times New Roman" w:cstheme="minorHAnsi"/>
          <w:lang w:eastAsia="de-DE"/>
        </w:rPr>
        <w:t xml:space="preserve"> neue Anforderungen</w:t>
      </w:r>
      <w:r w:rsidR="007F5140" w:rsidRPr="00A37F20">
        <w:rPr>
          <w:rFonts w:eastAsia="Times New Roman" w:cstheme="minorHAnsi"/>
          <w:lang w:eastAsia="de-DE"/>
        </w:rPr>
        <w:t xml:space="preserve">. </w:t>
      </w:r>
      <w:r w:rsidR="00517A83" w:rsidRPr="00A37F20">
        <w:rPr>
          <w:rFonts w:eastAsia="Times New Roman" w:cstheme="minorHAnsi"/>
          <w:lang w:eastAsia="de-DE"/>
        </w:rPr>
        <w:t xml:space="preserve">Die gesetzlichen Regelungen werden insgesamt auf den Stand nach Genehmigung durch die EU-Kommission </w:t>
      </w:r>
      <w:proofErr w:type="gramStart"/>
      <w:r w:rsidR="00D40EA9" w:rsidRPr="00A37F20">
        <w:rPr>
          <w:rFonts w:eastAsia="Times New Roman" w:cstheme="minorHAnsi"/>
          <w:lang w:eastAsia="de-DE"/>
        </w:rPr>
        <w:t>in 2019</w:t>
      </w:r>
      <w:proofErr w:type="gramEnd"/>
      <w:r w:rsidR="00517A83" w:rsidRPr="00A37F20">
        <w:rPr>
          <w:rFonts w:eastAsia="Times New Roman" w:cstheme="minorHAnsi"/>
          <w:lang w:eastAsia="de-DE"/>
        </w:rPr>
        <w:t xml:space="preserve"> zurückgeführt und damit d</w:t>
      </w:r>
      <w:r w:rsidR="007F5140" w:rsidRPr="00A37F20">
        <w:rPr>
          <w:rFonts w:eastAsia="Times New Roman" w:cstheme="minorHAnsi"/>
          <w:lang w:eastAsia="de-DE"/>
        </w:rPr>
        <w:t>er „</w:t>
      </w:r>
      <w:proofErr w:type="spellStart"/>
      <w:r w:rsidR="007F5140" w:rsidRPr="00A37F20">
        <w:rPr>
          <w:rFonts w:eastAsia="Times New Roman" w:cstheme="minorHAnsi"/>
          <w:lang w:eastAsia="de-DE"/>
        </w:rPr>
        <w:t>Clawba</w:t>
      </w:r>
      <w:r w:rsidR="001E1238">
        <w:rPr>
          <w:rFonts w:eastAsia="Times New Roman" w:cstheme="minorHAnsi"/>
          <w:lang w:eastAsia="de-DE"/>
        </w:rPr>
        <w:t>c</w:t>
      </w:r>
      <w:r w:rsidR="007F5140" w:rsidRPr="00A37F20">
        <w:rPr>
          <w:rFonts w:eastAsia="Times New Roman" w:cstheme="minorHAnsi"/>
          <w:lang w:eastAsia="de-DE"/>
        </w:rPr>
        <w:t>k</w:t>
      </w:r>
      <w:proofErr w:type="spellEnd"/>
      <w:r w:rsidR="007F5140" w:rsidRPr="00A37F20">
        <w:rPr>
          <w:rFonts w:eastAsia="Times New Roman" w:cstheme="minorHAnsi"/>
          <w:lang w:eastAsia="de-DE"/>
        </w:rPr>
        <w:t>“-</w:t>
      </w:r>
      <w:r w:rsidR="00517A83" w:rsidRPr="00A37F20">
        <w:rPr>
          <w:rFonts w:eastAsia="Times New Roman" w:cstheme="minorHAnsi"/>
          <w:lang w:eastAsia="de-DE"/>
        </w:rPr>
        <w:t>Mechanismus wieder eingeführt</w:t>
      </w:r>
      <w:r w:rsidR="007F5140" w:rsidRPr="00A37F20">
        <w:rPr>
          <w:rFonts w:eastAsia="Times New Roman" w:cstheme="minorHAnsi"/>
          <w:lang w:eastAsia="de-DE"/>
        </w:rPr>
        <w:t>. Diese Regelungen gelten rückwirkend zum 1.</w:t>
      </w:r>
      <w:r w:rsidR="001E1238">
        <w:rPr>
          <w:rFonts w:eastAsia="Times New Roman" w:cstheme="minorHAnsi"/>
          <w:lang w:eastAsia="de-DE"/>
        </w:rPr>
        <w:t xml:space="preserve"> Januar </w:t>
      </w:r>
      <w:r w:rsidR="007F5140" w:rsidRPr="00A37F20">
        <w:rPr>
          <w:rFonts w:eastAsia="Times New Roman" w:cstheme="minorHAnsi"/>
          <w:lang w:eastAsia="de-DE"/>
        </w:rPr>
        <w:t>2019</w:t>
      </w:r>
      <w:r w:rsidR="00303692" w:rsidRPr="00A37F20">
        <w:rPr>
          <w:rFonts w:eastAsia="Times New Roman" w:cstheme="minorHAnsi"/>
          <w:lang w:eastAsia="de-DE"/>
        </w:rPr>
        <w:t xml:space="preserve"> und sind damit auch in der Endabrechnung des Kalenderjahres 2020 </w:t>
      </w:r>
      <w:proofErr w:type="gramStart"/>
      <w:r w:rsidR="00303692" w:rsidRPr="00A37F20">
        <w:rPr>
          <w:rFonts w:eastAsia="Times New Roman" w:cstheme="minorHAnsi"/>
          <w:lang w:eastAsia="de-DE"/>
        </w:rPr>
        <w:t>in 2021</w:t>
      </w:r>
      <w:proofErr w:type="gramEnd"/>
      <w:r w:rsidR="00303692" w:rsidRPr="00A37F20">
        <w:rPr>
          <w:rFonts w:eastAsia="Times New Roman" w:cstheme="minorHAnsi"/>
          <w:lang w:eastAsia="de-DE"/>
        </w:rPr>
        <w:t xml:space="preserve"> zu berücksichtigen.</w:t>
      </w:r>
    </w:p>
    <w:p w14:paraId="69F962CD" w14:textId="77777777" w:rsidR="00D40EA9" w:rsidRPr="00A37F20" w:rsidRDefault="00D40EA9" w:rsidP="00D40EA9">
      <w:pPr>
        <w:spacing w:line="276" w:lineRule="auto"/>
        <w:rPr>
          <w:rFonts w:eastAsia="Times New Roman" w:cstheme="minorHAnsi"/>
          <w:lang w:eastAsia="de-DE"/>
        </w:rPr>
      </w:pPr>
    </w:p>
    <w:p w14:paraId="636757B9" w14:textId="1F95207B" w:rsidR="00D40EA9" w:rsidRPr="00A37F20" w:rsidRDefault="00D40EA9" w:rsidP="00D40EA9">
      <w:pPr>
        <w:spacing w:line="276" w:lineRule="auto"/>
        <w:rPr>
          <w:rFonts w:eastAsia="Times New Roman" w:cstheme="minorHAnsi"/>
          <w:lang w:eastAsia="de-DE"/>
        </w:rPr>
      </w:pPr>
      <w:r w:rsidRPr="00A37F20">
        <w:rPr>
          <w:rFonts w:eastAsia="Times New Roman" w:cstheme="minorHAnsi"/>
          <w:lang w:eastAsia="de-DE"/>
        </w:rPr>
        <w:t>Im Grundsatz bleibt es für hocheffiziente KWK-Anlagen bei einer 40-prozentigen EEG-Umlagepflicht.</w:t>
      </w:r>
    </w:p>
    <w:p w14:paraId="5ABF7E12" w14:textId="77777777" w:rsidR="00D40EA9" w:rsidRPr="00A37F20" w:rsidRDefault="00D40EA9" w:rsidP="00D40EA9">
      <w:pPr>
        <w:spacing w:line="276" w:lineRule="auto"/>
        <w:rPr>
          <w:rFonts w:eastAsia="Times New Roman" w:cstheme="minorHAnsi"/>
          <w:lang w:eastAsia="de-DE"/>
        </w:rPr>
      </w:pPr>
    </w:p>
    <w:p w14:paraId="0E9D359E" w14:textId="649E8F71" w:rsidR="00D40EA9" w:rsidRPr="00A37F20" w:rsidRDefault="00D40EA9" w:rsidP="00D40EA9">
      <w:pPr>
        <w:spacing w:line="276" w:lineRule="auto"/>
        <w:rPr>
          <w:rFonts w:eastAsia="Times New Roman" w:cstheme="minorHAnsi"/>
          <w:lang w:eastAsia="de-DE"/>
        </w:rPr>
      </w:pPr>
      <w:r w:rsidRPr="00A37F20">
        <w:rPr>
          <w:rFonts w:eastAsia="Times New Roman" w:cstheme="minorHAnsi"/>
          <w:lang w:eastAsia="de-DE"/>
        </w:rPr>
        <w:t>Für hocheffiziente KWK-Anlagen von mehr als 1 MW und bis einschließlich 10 MW gestaltet sich die EEG-Umlage-Reduzierung allerdings deutlich komplexer. Bei diesen Anlagen erfolgt die EEG-Umlage-Reduzierung wieder in Abhängigkeit der "Vollbenutzungsstunden zur Eigenversorgung" (</w:t>
      </w:r>
      <w:proofErr w:type="spellStart"/>
      <w:r w:rsidRPr="00A37F20">
        <w:rPr>
          <w:rFonts w:eastAsia="Times New Roman" w:cstheme="minorHAnsi"/>
          <w:lang w:eastAsia="de-DE"/>
        </w:rPr>
        <w:t>VBh</w:t>
      </w:r>
      <w:proofErr w:type="spellEnd"/>
      <w:r w:rsidRPr="00A37F20">
        <w:rPr>
          <w:rFonts w:eastAsia="Times New Roman" w:cstheme="minorHAnsi"/>
          <w:lang w:eastAsia="de-DE"/>
        </w:rPr>
        <w:t>), vgl. § 3 Nr. 47a EEG 2021 nach dem sogenannten „</w:t>
      </w:r>
      <w:proofErr w:type="spellStart"/>
      <w:r w:rsidRPr="00A37F20">
        <w:rPr>
          <w:rFonts w:eastAsia="Times New Roman" w:cstheme="minorHAnsi"/>
          <w:lang w:eastAsia="de-DE"/>
        </w:rPr>
        <w:t>Clawback</w:t>
      </w:r>
      <w:proofErr w:type="spellEnd"/>
      <w:r w:rsidRPr="00A37F20">
        <w:rPr>
          <w:rFonts w:eastAsia="Times New Roman" w:cstheme="minorHAnsi"/>
          <w:lang w:eastAsia="de-DE"/>
        </w:rPr>
        <w:t>-Mechanismus“ (Rückforderungsmechanismus), vgl. §</w:t>
      </w:r>
      <w:r w:rsidR="001E1238">
        <w:rPr>
          <w:rFonts w:eastAsia="Times New Roman" w:cstheme="minorHAnsi"/>
          <w:lang w:eastAsia="de-DE"/>
        </w:rPr>
        <w:t> </w:t>
      </w:r>
      <w:r w:rsidRPr="00A37F20">
        <w:rPr>
          <w:rFonts w:eastAsia="Times New Roman" w:cstheme="minorHAnsi"/>
          <w:lang w:eastAsia="de-DE"/>
        </w:rPr>
        <w:t>61c Abs. 2 EEG 2021.</w:t>
      </w:r>
    </w:p>
    <w:p w14:paraId="401EA6F8" w14:textId="0574EC88" w:rsidR="00D40EA9" w:rsidRPr="00A37F20" w:rsidRDefault="00D40EA9" w:rsidP="00D40EA9">
      <w:pPr>
        <w:spacing w:line="276" w:lineRule="auto"/>
        <w:rPr>
          <w:rFonts w:eastAsia="Times New Roman" w:cstheme="minorHAnsi"/>
          <w:lang w:eastAsia="de-DE"/>
        </w:rPr>
      </w:pPr>
      <w:r w:rsidRPr="00A37F20">
        <w:rPr>
          <w:rFonts w:eastAsia="Times New Roman" w:cstheme="minorHAnsi"/>
          <w:lang w:eastAsia="de-DE"/>
        </w:rPr>
        <w:t xml:space="preserve">Danach zahlen Anlagen innerhalb dieser Größenkategorie mit bis zu 3.500 </w:t>
      </w:r>
      <w:proofErr w:type="spellStart"/>
      <w:r w:rsidRPr="00A37F20">
        <w:rPr>
          <w:rFonts w:eastAsia="Times New Roman" w:cstheme="minorHAnsi"/>
          <w:lang w:eastAsia="de-DE"/>
        </w:rPr>
        <w:t>VBh</w:t>
      </w:r>
      <w:proofErr w:type="spellEnd"/>
      <w:r w:rsidRPr="00A37F20">
        <w:rPr>
          <w:rFonts w:eastAsia="Times New Roman" w:cstheme="minorHAnsi"/>
          <w:lang w:eastAsia="de-DE"/>
        </w:rPr>
        <w:t xml:space="preserve"> zur Eigenversorgung 40 Prozent EEG-Umlage. Bei Überschreitung dieser Schwelle von 3.500 </w:t>
      </w:r>
      <w:proofErr w:type="spellStart"/>
      <w:r w:rsidRPr="00A37F20">
        <w:rPr>
          <w:rFonts w:eastAsia="Times New Roman" w:cstheme="minorHAnsi"/>
          <w:lang w:eastAsia="de-DE"/>
        </w:rPr>
        <w:t>VBh</w:t>
      </w:r>
      <w:proofErr w:type="spellEnd"/>
      <w:r w:rsidRPr="00A37F20">
        <w:rPr>
          <w:rFonts w:eastAsia="Times New Roman" w:cstheme="minorHAnsi"/>
          <w:lang w:eastAsia="de-DE"/>
        </w:rPr>
        <w:t xml:space="preserve"> zur Eigenversorgung/Kalenderjahr wird allerdings für jede </w:t>
      </w:r>
      <w:proofErr w:type="gramStart"/>
      <w:r w:rsidRPr="00A37F20">
        <w:rPr>
          <w:rFonts w:eastAsia="Times New Roman" w:cstheme="minorHAnsi"/>
          <w:lang w:eastAsia="de-DE"/>
        </w:rPr>
        <w:t>darüber</w:t>
      </w:r>
      <w:r w:rsidR="008B4AE2">
        <w:rPr>
          <w:rFonts w:eastAsia="Times New Roman" w:cstheme="minorHAnsi"/>
          <w:lang w:eastAsia="de-DE"/>
        </w:rPr>
        <w:t xml:space="preserve"> </w:t>
      </w:r>
      <w:r w:rsidRPr="00A37F20">
        <w:rPr>
          <w:rFonts w:eastAsia="Times New Roman" w:cstheme="minorHAnsi"/>
          <w:lang w:eastAsia="de-DE"/>
        </w:rPr>
        <w:t>hinausgehenden</w:t>
      </w:r>
      <w:proofErr w:type="gramEnd"/>
      <w:r w:rsidRPr="00A37F20">
        <w:rPr>
          <w:rFonts w:eastAsia="Times New Roman" w:cstheme="minorHAnsi"/>
          <w:lang w:eastAsia="de-DE"/>
        </w:rPr>
        <w:t xml:space="preserve"> </w:t>
      </w:r>
      <w:proofErr w:type="spellStart"/>
      <w:r w:rsidRPr="00A37F20">
        <w:rPr>
          <w:rFonts w:eastAsia="Times New Roman" w:cstheme="minorHAnsi"/>
          <w:lang w:eastAsia="de-DE"/>
        </w:rPr>
        <w:t>VBh</w:t>
      </w:r>
      <w:proofErr w:type="spellEnd"/>
      <w:r w:rsidRPr="00A37F20">
        <w:rPr>
          <w:rFonts w:eastAsia="Times New Roman" w:cstheme="minorHAnsi"/>
          <w:lang w:eastAsia="de-DE"/>
        </w:rPr>
        <w:t xml:space="preserve"> zur Eigenversorgung die bereits gewährte 60 prozentige EEG-Umlage-Befreiung für die ersten 3500 </w:t>
      </w:r>
      <w:proofErr w:type="spellStart"/>
      <w:r w:rsidRPr="00A37F20">
        <w:rPr>
          <w:rFonts w:eastAsia="Times New Roman" w:cstheme="minorHAnsi"/>
          <w:lang w:eastAsia="de-DE"/>
        </w:rPr>
        <w:t>VBh</w:t>
      </w:r>
      <w:proofErr w:type="spellEnd"/>
      <w:r w:rsidRPr="00A37F20">
        <w:rPr>
          <w:rFonts w:eastAsia="Times New Roman" w:cstheme="minorHAnsi"/>
          <w:lang w:eastAsia="de-DE"/>
        </w:rPr>
        <w:t xml:space="preserve"> zur Eigenversorgung „zurückgefordert“. Somit ergibt sich eine 160-prozentigen EEG-Umlage-Belastung ab der 3.501. </w:t>
      </w:r>
      <w:proofErr w:type="spellStart"/>
      <w:r w:rsidRPr="00A37F20">
        <w:rPr>
          <w:rFonts w:eastAsia="Times New Roman" w:cstheme="minorHAnsi"/>
          <w:lang w:eastAsia="de-DE"/>
        </w:rPr>
        <w:t>VBh</w:t>
      </w:r>
      <w:proofErr w:type="spellEnd"/>
      <w:r w:rsidRPr="00A37F20">
        <w:rPr>
          <w:rFonts w:eastAsia="Times New Roman" w:cstheme="minorHAnsi"/>
          <w:lang w:eastAsia="de-DE"/>
        </w:rPr>
        <w:t xml:space="preserve"> zur Eigenversorgung ("</w:t>
      </w:r>
      <w:proofErr w:type="spellStart"/>
      <w:r w:rsidRPr="00A37F20">
        <w:rPr>
          <w:rFonts w:eastAsia="Times New Roman" w:cstheme="minorHAnsi"/>
          <w:lang w:eastAsia="de-DE"/>
        </w:rPr>
        <w:t>Clawback</w:t>
      </w:r>
      <w:proofErr w:type="spellEnd"/>
      <w:r w:rsidRPr="00A37F20">
        <w:rPr>
          <w:rFonts w:eastAsia="Times New Roman" w:cstheme="minorHAnsi"/>
          <w:lang w:eastAsia="de-DE"/>
        </w:rPr>
        <w:t>"-Mechanismus).</w:t>
      </w:r>
    </w:p>
    <w:p w14:paraId="72F85740" w14:textId="77777777" w:rsidR="00D40EA9" w:rsidRPr="00A37F20" w:rsidRDefault="00D40EA9" w:rsidP="00D40EA9">
      <w:pPr>
        <w:spacing w:line="276" w:lineRule="auto"/>
        <w:rPr>
          <w:rFonts w:eastAsia="Times New Roman" w:cstheme="minorHAnsi"/>
          <w:lang w:eastAsia="de-DE"/>
        </w:rPr>
      </w:pPr>
    </w:p>
    <w:p w14:paraId="3C382651" w14:textId="710FACE9" w:rsidR="00D40EA9" w:rsidRPr="00A37F20" w:rsidRDefault="00D40EA9" w:rsidP="00D40EA9">
      <w:pPr>
        <w:spacing w:line="276" w:lineRule="auto"/>
        <w:rPr>
          <w:rFonts w:eastAsia="Times New Roman" w:cstheme="minorHAnsi"/>
          <w:lang w:eastAsia="de-DE"/>
        </w:rPr>
      </w:pPr>
      <w:r w:rsidRPr="00A37F20">
        <w:rPr>
          <w:rFonts w:eastAsia="Times New Roman" w:cstheme="minorHAnsi"/>
          <w:lang w:eastAsia="de-DE"/>
        </w:rPr>
        <w:t xml:space="preserve">Für hocheffiziente KWK-Anlagen nach § 61c Abs. 1 EEG 2021, die von einem Unternehmen der Liste 1 Anhang 4 EEG 2021 (stromkostenintensive Unternehmen) zur Eigenversorgung betrieben werden, bleibt </w:t>
      </w:r>
      <w:r w:rsidRPr="00A37F20">
        <w:rPr>
          <w:rFonts w:eastAsia="Times New Roman" w:cstheme="minorHAnsi"/>
          <w:lang w:eastAsia="de-DE"/>
        </w:rPr>
        <w:lastRenderedPageBreak/>
        <w:t>es unabhängig von der Anlagengröße bei der 40</w:t>
      </w:r>
      <w:r w:rsidR="00B81419" w:rsidRPr="00A37F20">
        <w:rPr>
          <w:rFonts w:eastAsia="Times New Roman" w:cstheme="minorHAnsi"/>
          <w:lang w:eastAsia="de-DE"/>
        </w:rPr>
        <w:t>-</w:t>
      </w:r>
      <w:r w:rsidRPr="00A37F20">
        <w:rPr>
          <w:rFonts w:eastAsia="Times New Roman" w:cstheme="minorHAnsi"/>
          <w:lang w:eastAsia="de-DE"/>
        </w:rPr>
        <w:t>prozentigen EEG-Umlagepflicht; der „</w:t>
      </w:r>
      <w:proofErr w:type="spellStart"/>
      <w:r w:rsidRPr="00A37F20">
        <w:rPr>
          <w:rFonts w:eastAsia="Times New Roman" w:cstheme="minorHAnsi"/>
          <w:lang w:eastAsia="de-DE"/>
        </w:rPr>
        <w:t>Clawback</w:t>
      </w:r>
      <w:proofErr w:type="spellEnd"/>
      <w:r w:rsidRPr="00A37F20">
        <w:rPr>
          <w:rFonts w:eastAsia="Times New Roman" w:cstheme="minorHAnsi"/>
          <w:lang w:eastAsia="de-DE"/>
        </w:rPr>
        <w:t>“-Mechanismus findet keine Anwendung (vgl. § 61c Abs. 3 EEG 2021).</w:t>
      </w:r>
    </w:p>
    <w:p w14:paraId="5122B2D6" w14:textId="77777777" w:rsidR="00D40EA9" w:rsidRPr="00A37F20" w:rsidRDefault="00D40EA9" w:rsidP="00D40EA9">
      <w:pPr>
        <w:spacing w:line="276" w:lineRule="auto"/>
        <w:rPr>
          <w:rFonts w:eastAsia="Times New Roman" w:cstheme="minorHAnsi"/>
          <w:lang w:eastAsia="de-DE"/>
        </w:rPr>
      </w:pPr>
    </w:p>
    <w:p w14:paraId="490967BD" w14:textId="77777777" w:rsidR="00D40EA9" w:rsidRPr="00A37F20" w:rsidRDefault="00D40EA9" w:rsidP="00D40EA9">
      <w:pPr>
        <w:spacing w:line="276" w:lineRule="auto"/>
        <w:rPr>
          <w:rFonts w:eastAsia="Times New Roman" w:cstheme="minorHAnsi"/>
          <w:lang w:eastAsia="de-DE"/>
        </w:rPr>
      </w:pPr>
      <w:r w:rsidRPr="00A37F20">
        <w:rPr>
          <w:rFonts w:eastAsia="Times New Roman" w:cstheme="minorHAnsi"/>
          <w:lang w:eastAsia="de-DE"/>
        </w:rPr>
        <w:t>Der „</w:t>
      </w:r>
      <w:proofErr w:type="spellStart"/>
      <w:r w:rsidRPr="00A37F20">
        <w:rPr>
          <w:rFonts w:eastAsia="Times New Roman" w:cstheme="minorHAnsi"/>
          <w:lang w:eastAsia="de-DE"/>
        </w:rPr>
        <w:t>Clawback</w:t>
      </w:r>
      <w:proofErr w:type="spellEnd"/>
      <w:r w:rsidRPr="00A37F20">
        <w:rPr>
          <w:rFonts w:eastAsia="Times New Roman" w:cstheme="minorHAnsi"/>
          <w:lang w:eastAsia="de-DE"/>
        </w:rPr>
        <w:t xml:space="preserve">“-Mechanismus ist für die Ermittlung der EEG-Umlage bei Eigenversorgung aller hocheffizienten KWK-Anlagen anzusetzen, die erst </w:t>
      </w:r>
      <w:proofErr w:type="gramStart"/>
      <w:r w:rsidRPr="00A37F20">
        <w:rPr>
          <w:rFonts w:eastAsia="Times New Roman" w:cstheme="minorHAnsi"/>
          <w:lang w:eastAsia="de-DE"/>
        </w:rPr>
        <w:t>in 2018</w:t>
      </w:r>
      <w:proofErr w:type="gramEnd"/>
      <w:r w:rsidRPr="00A37F20">
        <w:rPr>
          <w:rFonts w:eastAsia="Times New Roman" w:cstheme="minorHAnsi"/>
          <w:lang w:eastAsia="de-DE"/>
        </w:rPr>
        <w:t xml:space="preserve"> die Eigenversorgung aufgenommen haben.</w:t>
      </w:r>
    </w:p>
    <w:p w14:paraId="18B53147" w14:textId="77777777" w:rsidR="00D40EA9" w:rsidRPr="00A37F20" w:rsidRDefault="00D40EA9" w:rsidP="00D40EA9">
      <w:pPr>
        <w:spacing w:line="276" w:lineRule="auto"/>
        <w:rPr>
          <w:rFonts w:eastAsia="Times New Roman" w:cstheme="minorHAnsi"/>
          <w:lang w:eastAsia="de-DE"/>
        </w:rPr>
      </w:pPr>
    </w:p>
    <w:p w14:paraId="3B2694DA" w14:textId="5B93F4D5" w:rsidR="00212717" w:rsidRDefault="00D40EA9" w:rsidP="003206CC">
      <w:pPr>
        <w:spacing w:line="276" w:lineRule="auto"/>
        <w:rPr>
          <w:rFonts w:eastAsia="Times New Roman" w:cstheme="minorHAnsi"/>
          <w:lang w:eastAsia="de-DE"/>
        </w:rPr>
      </w:pPr>
      <w:r w:rsidRPr="00A37F20">
        <w:rPr>
          <w:rFonts w:eastAsia="Times New Roman" w:cstheme="minorHAnsi"/>
          <w:lang w:eastAsia="de-DE"/>
        </w:rPr>
        <w:t xml:space="preserve">Abweichend davon wird Anlagen, die nach dem 1. August 2014 und bis zum 31. Dezember 2017 die Eigenversorgung aufgenommen haben, zeitlich befristet ein festes Kontingent von 3.500 </w:t>
      </w:r>
      <w:proofErr w:type="spellStart"/>
      <w:r w:rsidRPr="00A37F20">
        <w:rPr>
          <w:rFonts w:eastAsia="Times New Roman" w:cstheme="minorHAnsi"/>
          <w:lang w:eastAsia="de-DE"/>
        </w:rPr>
        <w:t>VBh</w:t>
      </w:r>
      <w:proofErr w:type="spellEnd"/>
      <w:r w:rsidRPr="00A37F20">
        <w:rPr>
          <w:rFonts w:eastAsia="Times New Roman" w:cstheme="minorHAnsi"/>
          <w:lang w:eastAsia="de-DE"/>
        </w:rPr>
        <w:t xml:space="preserve"> zur Eigenversorgung mit 40 Prozent EEG-Umlage gewährt, für </w:t>
      </w:r>
      <w:proofErr w:type="gramStart"/>
      <w:r w:rsidRPr="00A37F20">
        <w:rPr>
          <w:rFonts w:eastAsia="Times New Roman" w:cstheme="minorHAnsi"/>
          <w:lang w:eastAsia="de-DE"/>
        </w:rPr>
        <w:t>darüber hinausgehende</w:t>
      </w:r>
      <w:proofErr w:type="gramEnd"/>
      <w:r w:rsidRPr="00A37F20">
        <w:rPr>
          <w:rFonts w:eastAsia="Times New Roman" w:cstheme="minorHAnsi"/>
          <w:lang w:eastAsia="de-DE"/>
        </w:rPr>
        <w:t xml:space="preserve"> </w:t>
      </w:r>
      <w:proofErr w:type="spellStart"/>
      <w:r w:rsidRPr="00A37F20">
        <w:rPr>
          <w:rFonts w:eastAsia="Times New Roman" w:cstheme="minorHAnsi"/>
          <w:lang w:eastAsia="de-DE"/>
        </w:rPr>
        <w:t>VBh</w:t>
      </w:r>
      <w:proofErr w:type="spellEnd"/>
      <w:r w:rsidRPr="00A37F20">
        <w:rPr>
          <w:rFonts w:eastAsia="Times New Roman" w:cstheme="minorHAnsi"/>
          <w:lang w:eastAsia="de-DE"/>
        </w:rPr>
        <w:t xml:space="preserve"> zur Eigenversorgung fallen 100 Prozent EEG-Umlage an (§ 61d EEG 20</w:t>
      </w:r>
      <w:r w:rsidR="00303692" w:rsidRPr="00A37F20">
        <w:rPr>
          <w:rFonts w:eastAsia="Times New Roman" w:cstheme="minorHAnsi"/>
          <w:lang w:eastAsia="de-DE"/>
        </w:rPr>
        <w:t>21</w:t>
      </w:r>
      <w:r w:rsidRPr="00A37F20">
        <w:rPr>
          <w:rFonts w:eastAsia="Times New Roman" w:cstheme="minorHAnsi"/>
          <w:lang w:eastAsia="de-DE"/>
        </w:rPr>
        <w:t xml:space="preserve">). Abhängig vom konkreten Zeitpunkt der Aufnahme der Eigenversorgung können Anlagenbetreiber damit noch </w:t>
      </w:r>
      <w:r w:rsidR="00303692" w:rsidRPr="00A37F20">
        <w:rPr>
          <w:rFonts w:eastAsia="Times New Roman" w:cstheme="minorHAnsi"/>
          <w:lang w:eastAsia="de-DE"/>
        </w:rPr>
        <w:t xml:space="preserve">für </w:t>
      </w:r>
      <w:proofErr w:type="gramStart"/>
      <w:r w:rsidR="00303692" w:rsidRPr="00A37F20">
        <w:rPr>
          <w:rFonts w:eastAsia="Times New Roman" w:cstheme="minorHAnsi"/>
          <w:lang w:eastAsia="de-DE"/>
        </w:rPr>
        <w:t>in 2020</w:t>
      </w:r>
      <w:proofErr w:type="gramEnd"/>
      <w:r w:rsidR="00303692" w:rsidRPr="00A37F20">
        <w:rPr>
          <w:rFonts w:eastAsia="Times New Roman" w:cstheme="minorHAnsi"/>
          <w:lang w:eastAsia="de-DE"/>
        </w:rPr>
        <w:t xml:space="preserve"> verbrauchte Strommengen</w:t>
      </w:r>
      <w:r w:rsidRPr="00A37F20">
        <w:rPr>
          <w:rFonts w:eastAsia="Times New Roman" w:cstheme="minorHAnsi"/>
          <w:lang w:eastAsia="de-DE"/>
        </w:rPr>
        <w:t xml:space="preserve"> ein festes Kontingent von 3.500 </w:t>
      </w:r>
      <w:proofErr w:type="spellStart"/>
      <w:r w:rsidRPr="00A37F20">
        <w:rPr>
          <w:rFonts w:eastAsia="Times New Roman" w:cstheme="minorHAnsi"/>
          <w:lang w:eastAsia="de-DE"/>
        </w:rPr>
        <w:t>VBh</w:t>
      </w:r>
      <w:proofErr w:type="spellEnd"/>
      <w:r w:rsidRPr="00A37F20">
        <w:rPr>
          <w:rFonts w:eastAsia="Times New Roman" w:cstheme="minorHAnsi"/>
          <w:lang w:eastAsia="de-DE"/>
        </w:rPr>
        <w:t xml:space="preserve"> zur Eigenversorgung mit 40 Prozent EEG-Umlage</w:t>
      </w:r>
      <w:r w:rsidR="00303692" w:rsidRPr="00A37F20">
        <w:rPr>
          <w:rFonts w:eastAsia="Times New Roman" w:cstheme="minorHAnsi"/>
          <w:lang w:eastAsia="de-DE"/>
        </w:rPr>
        <w:t xml:space="preserve"> bei der Endabrechnung des Kalenderjahres 2020 in 2021</w:t>
      </w:r>
      <w:r w:rsidRPr="00A37F20">
        <w:rPr>
          <w:rFonts w:eastAsia="Times New Roman" w:cstheme="minorHAnsi"/>
          <w:lang w:eastAsia="de-DE"/>
        </w:rPr>
        <w:t xml:space="preserve"> in Anspruch nehmen. Im Anschluss daran gilt der “</w:t>
      </w:r>
      <w:proofErr w:type="spellStart"/>
      <w:r w:rsidRPr="00A37F20">
        <w:rPr>
          <w:rFonts w:eastAsia="Times New Roman" w:cstheme="minorHAnsi"/>
          <w:lang w:eastAsia="de-DE"/>
        </w:rPr>
        <w:t>Claw</w:t>
      </w:r>
      <w:proofErr w:type="spellEnd"/>
      <w:r w:rsidRPr="00A37F20">
        <w:rPr>
          <w:rFonts w:eastAsia="Times New Roman" w:cstheme="minorHAnsi"/>
          <w:lang w:eastAsia="de-DE"/>
        </w:rPr>
        <w:t xml:space="preserve">-back“-Mechanismus auch für diese KWK-Anlagen. </w:t>
      </w:r>
    </w:p>
    <w:p w14:paraId="5624689E" w14:textId="4DCE5C0D" w:rsidR="002C1711" w:rsidRDefault="002C1711" w:rsidP="003206CC">
      <w:pPr>
        <w:spacing w:line="276" w:lineRule="auto"/>
        <w:rPr>
          <w:rFonts w:eastAsia="Times New Roman" w:cstheme="minorHAnsi"/>
          <w:lang w:eastAsia="de-DE"/>
        </w:rPr>
      </w:pPr>
    </w:p>
    <w:p w14:paraId="00AE32B9" w14:textId="71994074" w:rsidR="002C1711" w:rsidRPr="003366BC" w:rsidRDefault="002C1711" w:rsidP="003206CC">
      <w:pPr>
        <w:spacing w:line="276" w:lineRule="auto"/>
        <w:rPr>
          <w:rFonts w:eastAsia="Times New Roman" w:cstheme="minorHAnsi"/>
          <w:b/>
          <w:bCs/>
          <w:lang w:eastAsia="de-DE"/>
        </w:rPr>
      </w:pPr>
      <w:r w:rsidRPr="003366BC">
        <w:rPr>
          <w:rFonts w:eastAsia="Times New Roman" w:cstheme="minorHAnsi"/>
          <w:b/>
          <w:bCs/>
          <w:lang w:eastAsia="de-DE"/>
        </w:rPr>
        <w:t>Änderungen bei der EEG-Umlagepflicht bei Speichereinsatz</w:t>
      </w:r>
    </w:p>
    <w:p w14:paraId="3D47E6B8" w14:textId="77777777" w:rsidR="002A1DFA" w:rsidRPr="00A37F20" w:rsidRDefault="002A1DFA" w:rsidP="002A1DFA">
      <w:pPr>
        <w:spacing w:line="276" w:lineRule="auto"/>
        <w:rPr>
          <w:rFonts w:eastAsia="Times New Roman" w:cstheme="minorHAnsi"/>
          <w:b/>
          <w:lang w:eastAsia="de-DE"/>
        </w:rPr>
      </w:pPr>
      <w:r w:rsidRPr="00A37F20">
        <w:rPr>
          <w:rFonts w:eastAsia="Times New Roman" w:cstheme="minorHAnsi"/>
          <w:b/>
          <w:lang w:eastAsia="de-DE"/>
        </w:rPr>
        <w:t>Hinweis:</w:t>
      </w:r>
    </w:p>
    <w:p w14:paraId="0A6AF597" w14:textId="77777777" w:rsidR="002A1DFA" w:rsidRPr="00A37F20" w:rsidRDefault="002A1DFA" w:rsidP="002A1DFA">
      <w:pPr>
        <w:pBdr>
          <w:top w:val="single" w:sz="4" w:space="1" w:color="auto"/>
          <w:left w:val="single" w:sz="4" w:space="4" w:color="auto"/>
          <w:bottom w:val="single" w:sz="4" w:space="1" w:color="auto"/>
          <w:right w:val="single" w:sz="4" w:space="4" w:color="auto"/>
        </w:pBdr>
        <w:rPr>
          <w:rFonts w:eastAsia="Times New Roman" w:cstheme="minorHAnsi"/>
          <w:lang w:eastAsia="de-DE"/>
        </w:rPr>
      </w:pPr>
    </w:p>
    <w:p w14:paraId="445C660A" w14:textId="77777777" w:rsidR="002A1DFA" w:rsidRPr="00A37F20" w:rsidRDefault="002A1DFA" w:rsidP="002A1DFA">
      <w:pPr>
        <w:pBdr>
          <w:top w:val="single" w:sz="4" w:space="1" w:color="auto"/>
          <w:left w:val="single" w:sz="4" w:space="4" w:color="auto"/>
          <w:bottom w:val="single" w:sz="4" w:space="1" w:color="auto"/>
          <w:right w:val="single" w:sz="4" w:space="4" w:color="auto"/>
        </w:pBdr>
        <w:rPr>
          <w:rFonts w:eastAsia="Times New Roman" w:cstheme="minorHAnsi"/>
          <w:lang w:eastAsia="de-DE"/>
        </w:rPr>
      </w:pPr>
      <w:r w:rsidRPr="00A37F20">
        <w:rPr>
          <w:rFonts w:eastAsia="Times New Roman" w:cstheme="minorHAnsi"/>
          <w:lang w:eastAsia="de-DE"/>
        </w:rPr>
        <w:t xml:space="preserve">Auch </w:t>
      </w:r>
      <w:r w:rsidRPr="00A37F20">
        <w:rPr>
          <w:rFonts w:eastAsia="Times New Roman" w:cstheme="minorHAnsi"/>
          <w:b/>
          <w:lang w:eastAsia="de-DE"/>
        </w:rPr>
        <w:t>Speicher sind Stromerzeugungsanlagen</w:t>
      </w:r>
      <w:r w:rsidRPr="00A37F20">
        <w:rPr>
          <w:rFonts w:eastAsia="Times New Roman" w:cstheme="minorHAnsi"/>
          <w:lang w:eastAsia="de-DE"/>
        </w:rPr>
        <w:t xml:space="preserve"> im Sinne des EEG 2021. Für die EEG-Umlage bei der Zwischenspeicherung von Strom gelten die besonderen Voraussetzungen gem. § 61l Abs. 1 </w:t>
      </w:r>
      <w:r>
        <w:rPr>
          <w:rFonts w:eastAsia="Times New Roman" w:cstheme="minorHAnsi"/>
          <w:lang w:eastAsia="de-DE"/>
        </w:rPr>
        <w:t>und 1a</w:t>
      </w:r>
      <w:r w:rsidRPr="00A37F20">
        <w:rPr>
          <w:rFonts w:eastAsia="Times New Roman" w:cstheme="minorHAnsi"/>
          <w:lang w:eastAsia="de-DE"/>
        </w:rPr>
        <w:t xml:space="preserve"> EEG 2021</w:t>
      </w:r>
      <w:r>
        <w:rPr>
          <w:rFonts w:eastAsia="Times New Roman" w:cstheme="minorHAnsi"/>
          <w:lang w:eastAsia="de-DE"/>
        </w:rPr>
        <w:t>-2</w:t>
      </w:r>
      <w:r w:rsidRPr="00A37F20">
        <w:rPr>
          <w:rFonts w:eastAsia="Times New Roman" w:cstheme="minorHAnsi"/>
          <w:lang w:eastAsia="de-DE"/>
        </w:rPr>
        <w:t>. Je Anlage – und damit auch je Speicher, der für die Eigenversorgung oder Eigenerzeugung genutzt wird, ist ein gesonderter Bogen auszufüllen. Neu zu beachten ist jedoch die EEG-Kleinanlagenregelung des §</w:t>
      </w:r>
      <w:r>
        <w:rPr>
          <w:rFonts w:eastAsia="Times New Roman" w:cstheme="minorHAnsi"/>
          <w:lang w:eastAsia="de-DE"/>
        </w:rPr>
        <w:t> </w:t>
      </w:r>
      <w:r w:rsidRPr="00A37F20">
        <w:rPr>
          <w:rFonts w:eastAsia="Times New Roman" w:cstheme="minorHAnsi"/>
          <w:lang w:eastAsia="de-DE"/>
        </w:rPr>
        <w:t xml:space="preserve">61b Abs. 2 EEG 2021, die auch für Speicher gilt, in die </w:t>
      </w:r>
      <w:proofErr w:type="gramStart"/>
      <w:r w:rsidRPr="00A37F20">
        <w:rPr>
          <w:rFonts w:eastAsia="Times New Roman" w:cstheme="minorHAnsi"/>
          <w:lang w:eastAsia="de-DE"/>
        </w:rPr>
        <w:t>ausschließlich Energie</w:t>
      </w:r>
      <w:proofErr w:type="gramEnd"/>
      <w:r w:rsidRPr="00A37F20">
        <w:rPr>
          <w:rFonts w:eastAsia="Times New Roman" w:cstheme="minorHAnsi"/>
          <w:lang w:eastAsia="de-DE"/>
        </w:rPr>
        <w:t xml:space="preserve"> aus Erneuerbaren Energien oder Grubengas eingespeichert wurden und die damit als EEG-Anlage anzusehen sind.</w:t>
      </w:r>
    </w:p>
    <w:p w14:paraId="27C372B6" w14:textId="77777777" w:rsidR="002A1DFA" w:rsidRPr="00A37F20" w:rsidRDefault="002A1DFA" w:rsidP="002A1DFA">
      <w:pPr>
        <w:pBdr>
          <w:top w:val="single" w:sz="4" w:space="1" w:color="auto"/>
          <w:left w:val="single" w:sz="4" w:space="4" w:color="auto"/>
          <w:bottom w:val="single" w:sz="4" w:space="1" w:color="auto"/>
          <w:right w:val="single" w:sz="4" w:space="4" w:color="auto"/>
        </w:pBdr>
        <w:rPr>
          <w:rFonts w:eastAsia="Times New Roman" w:cstheme="minorHAnsi"/>
          <w:lang w:eastAsia="de-DE"/>
        </w:rPr>
      </w:pPr>
    </w:p>
    <w:p w14:paraId="7F2E2B79" w14:textId="77777777" w:rsidR="002A1DFA" w:rsidRDefault="002A1DFA" w:rsidP="002C1711">
      <w:pPr>
        <w:spacing w:line="276" w:lineRule="auto"/>
        <w:rPr>
          <w:rFonts w:eastAsia="Times New Roman" w:cstheme="minorHAnsi"/>
          <w:lang w:eastAsia="de-DE"/>
        </w:rPr>
      </w:pPr>
    </w:p>
    <w:p w14:paraId="70BC1CCF" w14:textId="79DF8CE5" w:rsidR="002C1711" w:rsidRDefault="002C1711" w:rsidP="002C1711">
      <w:pPr>
        <w:spacing w:line="276" w:lineRule="auto"/>
        <w:rPr>
          <w:rFonts w:eastAsia="Times New Roman" w:cstheme="minorHAnsi"/>
          <w:lang w:eastAsia="de-DE"/>
        </w:rPr>
      </w:pPr>
      <w:r w:rsidRPr="002C1711">
        <w:rPr>
          <w:rFonts w:eastAsia="Times New Roman" w:cstheme="minorHAnsi"/>
          <w:lang w:eastAsia="de-DE"/>
        </w:rPr>
        <w:t xml:space="preserve">Der neue § 61l EEG 2021-2 setzt </w:t>
      </w:r>
      <w:r w:rsidR="002A1DFA">
        <w:rPr>
          <w:rFonts w:eastAsia="Times New Roman" w:cstheme="minorHAnsi"/>
          <w:lang w:eastAsia="de-DE"/>
        </w:rPr>
        <w:t xml:space="preserve">seit dem 27. Juli 2021 </w:t>
      </w:r>
      <w:r w:rsidRPr="002C1711">
        <w:rPr>
          <w:rFonts w:eastAsia="Times New Roman" w:cstheme="minorHAnsi"/>
          <w:lang w:eastAsia="de-DE"/>
        </w:rPr>
        <w:t xml:space="preserve">zum einen die Empfehlungen des </w:t>
      </w:r>
      <w:hyperlink r:id="rId9" w:history="1">
        <w:r w:rsidRPr="002C1711">
          <w:rPr>
            <w:rStyle w:val="Hyperlink"/>
            <w:rFonts w:eastAsia="Times New Roman" w:cstheme="minorHAnsi"/>
            <w:lang w:eastAsia="de-DE"/>
          </w:rPr>
          <w:t>Evaluierungsberichts der Bundesnetzagentur zu bivalenten Speichern</w:t>
        </w:r>
      </w:hyperlink>
      <w:r w:rsidRPr="002C1711">
        <w:rPr>
          <w:rFonts w:eastAsia="Times New Roman" w:cstheme="minorHAnsi"/>
          <w:lang w:eastAsia="de-DE"/>
        </w:rPr>
        <w:t xml:space="preserve"> um und enthält zum anderen Anpassungen bei der Messwerterfassung, die die praktische Anwendung des Saldierungsmechanismus verbessern sollen.</w:t>
      </w:r>
    </w:p>
    <w:p w14:paraId="04A91A8C" w14:textId="77777777" w:rsidR="00FE14DB" w:rsidRDefault="00FE14DB" w:rsidP="002C1711">
      <w:pPr>
        <w:spacing w:line="276" w:lineRule="auto"/>
        <w:rPr>
          <w:rFonts w:eastAsia="Times New Roman" w:cstheme="minorHAnsi"/>
          <w:lang w:eastAsia="de-DE"/>
        </w:rPr>
      </w:pPr>
    </w:p>
    <w:p w14:paraId="57E90C89" w14:textId="3B4C2FCD" w:rsidR="00FE14DB" w:rsidRDefault="00FE14DB" w:rsidP="003206CC">
      <w:pPr>
        <w:spacing w:line="276" w:lineRule="auto"/>
        <w:rPr>
          <w:rFonts w:eastAsia="Times New Roman" w:cstheme="minorHAnsi"/>
          <w:lang w:eastAsia="de-DE"/>
        </w:rPr>
      </w:pPr>
      <w:r>
        <w:rPr>
          <w:rFonts w:eastAsia="Times New Roman" w:cstheme="minorHAnsi"/>
          <w:lang w:eastAsia="de-DE"/>
        </w:rPr>
        <w:t xml:space="preserve">Der Grundmechanismus der Saldierung bleibt erhalten: Für in den Stromspeicher eingespeicherte Strommengen entfällt die EEG-Umlage in der Höhe und dem Umfang wie für mit dem Stromspeicher erzeugte Strommengen die EEG-Umlage gezahlt wird. Damit soll eine „Doppelbelastung“ von Strommengen mit der EEG-Umlage vermieden werden. </w:t>
      </w:r>
    </w:p>
    <w:p w14:paraId="74D2B1F9" w14:textId="77777777" w:rsidR="00C764CE" w:rsidRDefault="00C764CE" w:rsidP="003206CC">
      <w:pPr>
        <w:spacing w:line="276" w:lineRule="auto"/>
        <w:rPr>
          <w:rFonts w:eastAsia="Times New Roman" w:cstheme="minorHAnsi"/>
          <w:lang w:eastAsia="de-DE"/>
        </w:rPr>
      </w:pPr>
    </w:p>
    <w:p w14:paraId="0000E908" w14:textId="036E784E" w:rsidR="00FE14DB" w:rsidRDefault="00FE14DB" w:rsidP="003206CC">
      <w:pPr>
        <w:spacing w:line="276" w:lineRule="auto"/>
        <w:rPr>
          <w:rFonts w:eastAsia="Times New Roman" w:cstheme="minorHAnsi"/>
          <w:b/>
          <w:lang w:eastAsia="de-DE"/>
        </w:rPr>
      </w:pPr>
      <w:r w:rsidRPr="003366BC">
        <w:rPr>
          <w:rFonts w:eastAsia="Times New Roman" w:cstheme="minorHAnsi"/>
          <w:lang w:eastAsia="de-DE"/>
        </w:rPr>
        <w:t>Di</w:t>
      </w:r>
      <w:r>
        <w:rPr>
          <w:rFonts w:eastAsia="Times New Roman" w:cstheme="minorHAnsi"/>
          <w:lang w:eastAsia="de-DE"/>
        </w:rPr>
        <w:t>e</w:t>
      </w:r>
      <w:r w:rsidRPr="003366BC">
        <w:rPr>
          <w:rFonts w:eastAsia="Times New Roman" w:cstheme="minorHAnsi"/>
          <w:lang w:eastAsia="de-DE"/>
        </w:rPr>
        <w:t xml:space="preserve"> Anforderungen an die messtechnische Erfassung und Meldung der zu saldierenden Strommengen werden in einem neuen Absatz 1a </w:t>
      </w:r>
      <w:r w:rsidRPr="00FE14DB">
        <w:rPr>
          <w:rFonts w:eastAsia="Times New Roman" w:cstheme="minorHAnsi"/>
          <w:lang w:eastAsia="de-DE"/>
        </w:rPr>
        <w:t>zusammengefasst und vereinfacht.</w:t>
      </w:r>
      <w:r>
        <w:rPr>
          <w:rFonts w:eastAsia="Times New Roman" w:cstheme="minorHAnsi"/>
          <w:lang w:eastAsia="de-DE"/>
        </w:rPr>
        <w:t xml:space="preserve"> Saldierungsperiode ist nun einheitlich das Kalenderjahr. </w:t>
      </w:r>
      <w:r w:rsidR="00955D56">
        <w:rPr>
          <w:rFonts w:eastAsia="Times New Roman" w:cstheme="minorHAnsi"/>
          <w:lang w:eastAsia="de-DE"/>
        </w:rPr>
        <w:t xml:space="preserve">Füllstände der Speicher finden bei der Berücksichtigung von Speicherverlusten keine Berücksichtigung mehr. </w:t>
      </w:r>
      <w:r>
        <w:rPr>
          <w:rFonts w:eastAsia="Times New Roman" w:cstheme="minorHAnsi"/>
          <w:lang w:eastAsia="de-DE"/>
        </w:rPr>
        <w:t>Mit der Neuregelung wird außerdem der Einsatz von Speichern für netzdienliche oder systemdienliche Zwecke messtechnisch vereinfacht</w:t>
      </w:r>
      <w:r w:rsidR="00C764CE">
        <w:rPr>
          <w:rFonts w:eastAsia="Times New Roman" w:cstheme="minorHAnsi"/>
          <w:lang w:eastAsia="de-DE"/>
        </w:rPr>
        <w:t>.</w:t>
      </w:r>
      <w:r w:rsidR="002A1DFA">
        <w:rPr>
          <w:rFonts w:eastAsia="Times New Roman" w:cstheme="minorHAnsi"/>
          <w:lang w:eastAsia="de-DE"/>
        </w:rPr>
        <w:t xml:space="preserve"> </w:t>
      </w:r>
      <w:r>
        <w:rPr>
          <w:rFonts w:eastAsia="Times New Roman" w:cstheme="minorHAnsi"/>
          <w:lang w:eastAsia="de-DE"/>
        </w:rPr>
        <w:t>Eine Schätzung der Strommengen</w:t>
      </w:r>
      <w:r w:rsidR="00C764CE">
        <w:rPr>
          <w:rFonts w:eastAsia="Times New Roman" w:cstheme="minorHAnsi"/>
          <w:lang w:eastAsia="de-DE"/>
        </w:rPr>
        <w:t xml:space="preserve">, </w:t>
      </w:r>
      <w:r>
        <w:rPr>
          <w:rFonts w:eastAsia="Times New Roman" w:cstheme="minorHAnsi"/>
          <w:lang w:eastAsia="de-DE"/>
        </w:rPr>
        <w:t>die für die Saldierung erfasst werden müssen, ist allerdings – nun ausdrücklich - nicht möglich.</w:t>
      </w:r>
    </w:p>
    <w:p w14:paraId="01BD6F27" w14:textId="77777777" w:rsidR="00FE14DB" w:rsidRDefault="00FE14DB" w:rsidP="003206CC">
      <w:pPr>
        <w:spacing w:line="276" w:lineRule="auto"/>
        <w:rPr>
          <w:rFonts w:eastAsia="Times New Roman" w:cstheme="minorHAnsi"/>
          <w:b/>
          <w:lang w:eastAsia="de-DE"/>
        </w:rPr>
      </w:pPr>
    </w:p>
    <w:p w14:paraId="52293DF2" w14:textId="3DF882C4" w:rsidR="00C44995" w:rsidRPr="00A37F20" w:rsidRDefault="00C44995" w:rsidP="003206CC">
      <w:pPr>
        <w:spacing w:line="276" w:lineRule="auto"/>
        <w:rPr>
          <w:rFonts w:eastAsia="Times New Roman" w:cstheme="minorHAnsi"/>
          <w:b/>
          <w:lang w:eastAsia="de-DE"/>
        </w:rPr>
      </w:pPr>
      <w:r w:rsidRPr="00A37F20">
        <w:rPr>
          <w:rFonts w:eastAsia="Times New Roman" w:cstheme="minorHAnsi"/>
          <w:b/>
          <w:lang w:eastAsia="de-DE"/>
        </w:rPr>
        <w:t>Grundlagen für die Meldung von Eigenversorgungen</w:t>
      </w:r>
    </w:p>
    <w:p w14:paraId="133A4316" w14:textId="17FFB54D" w:rsidR="00C57FDE" w:rsidRPr="00A37F20" w:rsidRDefault="002E5AC2" w:rsidP="003206CC">
      <w:pPr>
        <w:spacing w:line="276" w:lineRule="auto"/>
        <w:rPr>
          <w:rFonts w:eastAsia="Times New Roman" w:cstheme="minorHAnsi"/>
          <w:lang w:eastAsia="de-DE"/>
        </w:rPr>
      </w:pPr>
      <w:r w:rsidRPr="00A37F20">
        <w:rPr>
          <w:rFonts w:eastAsia="Times New Roman" w:cstheme="minorHAnsi"/>
          <w:lang w:eastAsia="de-DE"/>
        </w:rPr>
        <w:t xml:space="preserve">Zu berücksichtigen ist, dass die nachfolgenden Ausführungen nur für Eigenversorgungen nach § 61 </w:t>
      </w:r>
      <w:proofErr w:type="spellStart"/>
      <w:r w:rsidRPr="00A37F20">
        <w:rPr>
          <w:rFonts w:eastAsia="Times New Roman" w:cstheme="minorHAnsi"/>
          <w:lang w:eastAsia="de-DE"/>
        </w:rPr>
        <w:t>i</w:t>
      </w:r>
      <w:r w:rsidR="00951230" w:rsidRPr="00A37F20">
        <w:rPr>
          <w:rFonts w:eastAsia="Times New Roman" w:cstheme="minorHAnsi"/>
          <w:lang w:eastAsia="de-DE"/>
        </w:rPr>
        <w:t>.</w:t>
      </w:r>
      <w:r w:rsidRPr="00A37F20">
        <w:rPr>
          <w:rFonts w:eastAsia="Times New Roman" w:cstheme="minorHAnsi"/>
          <w:lang w:eastAsia="de-DE"/>
        </w:rPr>
        <w:t>V</w:t>
      </w:r>
      <w:r w:rsidR="00951230" w:rsidRPr="00A37F20">
        <w:rPr>
          <w:rFonts w:eastAsia="Times New Roman" w:cstheme="minorHAnsi"/>
          <w:lang w:eastAsia="de-DE"/>
        </w:rPr>
        <w:t>.</w:t>
      </w:r>
      <w:r w:rsidRPr="00A37F20">
        <w:rPr>
          <w:rFonts w:eastAsia="Times New Roman" w:cstheme="minorHAnsi"/>
          <w:lang w:eastAsia="de-DE"/>
        </w:rPr>
        <w:t>m</w:t>
      </w:r>
      <w:proofErr w:type="spellEnd"/>
      <w:r w:rsidRPr="00A37F20">
        <w:rPr>
          <w:rFonts w:eastAsia="Times New Roman" w:cstheme="minorHAnsi"/>
          <w:lang w:eastAsia="de-DE"/>
        </w:rPr>
        <w:t>. § 3 Nr. 19 EEG 20</w:t>
      </w:r>
      <w:r w:rsidR="00517A83" w:rsidRPr="00A37F20">
        <w:rPr>
          <w:rFonts w:eastAsia="Times New Roman" w:cstheme="minorHAnsi"/>
          <w:lang w:eastAsia="de-DE"/>
        </w:rPr>
        <w:t>21</w:t>
      </w:r>
      <w:r w:rsidRPr="00A37F20">
        <w:rPr>
          <w:rFonts w:eastAsia="Times New Roman" w:cstheme="minorHAnsi"/>
          <w:lang w:eastAsia="de-DE"/>
        </w:rPr>
        <w:t xml:space="preserve"> gelten. </w:t>
      </w:r>
    </w:p>
    <w:p w14:paraId="3D2C521F" w14:textId="77777777" w:rsidR="00C57FDE" w:rsidRPr="00A37F20" w:rsidRDefault="00C57FDE" w:rsidP="003206CC">
      <w:pPr>
        <w:spacing w:line="276" w:lineRule="auto"/>
        <w:rPr>
          <w:rFonts w:eastAsia="Times New Roman" w:cstheme="minorHAnsi"/>
          <w:lang w:eastAsia="de-DE"/>
        </w:rPr>
      </w:pPr>
    </w:p>
    <w:p w14:paraId="685752C4" w14:textId="47DB0711" w:rsidR="00E23E9B" w:rsidRPr="00A37F20" w:rsidRDefault="00FB5FA5" w:rsidP="003206CC">
      <w:pPr>
        <w:spacing w:line="276" w:lineRule="auto"/>
        <w:rPr>
          <w:rFonts w:eastAsia="Times New Roman" w:cstheme="minorHAnsi"/>
          <w:lang w:eastAsia="de-DE"/>
        </w:rPr>
      </w:pPr>
      <w:r w:rsidRPr="00A37F20">
        <w:rPr>
          <w:rFonts w:eastAsia="Times New Roman" w:cstheme="minorHAnsi"/>
          <w:b/>
          <w:lang w:eastAsia="de-DE"/>
        </w:rPr>
        <w:lastRenderedPageBreak/>
        <w:t>Bei der unmittelbaren Belieferung von dritten Letztverbrauchern ist stets die volle EEG-Umlage an den Übertragungsnetzbetreiber zu zahlen.</w:t>
      </w:r>
      <w:r w:rsidR="00C57FDE" w:rsidRPr="00A37F20">
        <w:rPr>
          <w:rFonts w:eastAsia="Times New Roman" w:cstheme="minorHAnsi"/>
          <w:b/>
          <w:lang w:eastAsia="de-DE"/>
        </w:rPr>
        <w:t xml:space="preserve"> </w:t>
      </w:r>
      <w:r w:rsidR="00EC43E8" w:rsidRPr="00A37F20">
        <w:rPr>
          <w:rFonts w:eastAsia="Times New Roman" w:cstheme="minorHAnsi"/>
          <w:b/>
          <w:lang w:eastAsia="de-DE"/>
        </w:rPr>
        <w:t>Die Zahlungspflicht an den Ü</w:t>
      </w:r>
      <w:r w:rsidR="003A60B6" w:rsidRPr="00A37F20">
        <w:rPr>
          <w:rFonts w:eastAsia="Times New Roman" w:cstheme="minorHAnsi"/>
          <w:b/>
          <w:lang w:eastAsia="de-DE"/>
        </w:rPr>
        <w:t>bertragungsnetzbetreiber</w:t>
      </w:r>
      <w:r w:rsidR="00EC43E8" w:rsidRPr="00A37F20">
        <w:rPr>
          <w:rFonts w:eastAsia="Times New Roman" w:cstheme="minorHAnsi"/>
          <w:b/>
          <w:lang w:eastAsia="de-DE"/>
        </w:rPr>
        <w:t xml:space="preserve"> (nicht Verteilnetzbetreiber als Anschlussnetzbetreiber)</w:t>
      </w:r>
      <w:r w:rsidR="00462097" w:rsidRPr="00A37F20">
        <w:rPr>
          <w:rFonts w:eastAsia="Times New Roman" w:cstheme="minorHAnsi"/>
          <w:b/>
          <w:lang w:eastAsia="de-DE"/>
        </w:rPr>
        <w:t xml:space="preserve"> </w:t>
      </w:r>
      <w:r w:rsidR="00C57FDE" w:rsidRPr="00A37F20">
        <w:rPr>
          <w:rFonts w:eastAsia="Times New Roman" w:cstheme="minorHAnsi"/>
          <w:b/>
          <w:lang w:eastAsia="de-DE"/>
        </w:rPr>
        <w:t>gilt dann für den gesamten Sachverhalt, also sowohl für die</w:t>
      </w:r>
      <w:r w:rsidR="00EC43E8" w:rsidRPr="00A37F20">
        <w:rPr>
          <w:rFonts w:eastAsia="Times New Roman" w:cstheme="minorHAnsi"/>
          <w:b/>
          <w:lang w:eastAsia="de-DE"/>
        </w:rPr>
        <w:t xml:space="preserve"> EEG-Umlage auf</w:t>
      </w:r>
      <w:r w:rsidR="00C57FDE" w:rsidRPr="00A37F20">
        <w:rPr>
          <w:rFonts w:eastAsia="Times New Roman" w:cstheme="minorHAnsi"/>
          <w:b/>
          <w:lang w:eastAsia="de-DE"/>
        </w:rPr>
        <w:t xml:space="preserve"> Eigenversorgungs- als auch </w:t>
      </w:r>
      <w:r w:rsidR="006B479C" w:rsidRPr="00A37F20">
        <w:rPr>
          <w:rFonts w:eastAsia="Times New Roman" w:cstheme="minorHAnsi"/>
          <w:b/>
          <w:lang w:eastAsia="de-DE"/>
        </w:rPr>
        <w:t xml:space="preserve">auf </w:t>
      </w:r>
      <w:r w:rsidR="00C57FDE" w:rsidRPr="00A37F20">
        <w:rPr>
          <w:rFonts w:eastAsia="Times New Roman" w:cstheme="minorHAnsi"/>
          <w:b/>
          <w:lang w:eastAsia="de-DE"/>
        </w:rPr>
        <w:t>Drittbelieferungsmengen (§ 61j Abs. 1 Nr. 3 EEG 20</w:t>
      </w:r>
      <w:r w:rsidR="00517A83" w:rsidRPr="00A37F20">
        <w:rPr>
          <w:rFonts w:eastAsia="Times New Roman" w:cstheme="minorHAnsi"/>
          <w:b/>
          <w:lang w:eastAsia="de-DE"/>
        </w:rPr>
        <w:t>21</w:t>
      </w:r>
      <w:r w:rsidR="00C57FDE" w:rsidRPr="00A37F20">
        <w:rPr>
          <w:rFonts w:eastAsia="Times New Roman" w:cstheme="minorHAnsi"/>
          <w:b/>
          <w:lang w:eastAsia="de-DE"/>
        </w:rPr>
        <w:t>).</w:t>
      </w:r>
    </w:p>
    <w:p w14:paraId="790F0B6E" w14:textId="77777777" w:rsidR="00B3146B" w:rsidRPr="00A37F20" w:rsidRDefault="00B3146B" w:rsidP="003206CC">
      <w:pPr>
        <w:spacing w:line="276" w:lineRule="auto"/>
        <w:rPr>
          <w:rFonts w:eastAsia="Times New Roman" w:cstheme="minorHAnsi"/>
          <w:lang w:eastAsia="de-DE"/>
        </w:rPr>
      </w:pPr>
    </w:p>
    <w:p w14:paraId="5136802F" w14:textId="309F0F05" w:rsidR="008F279F" w:rsidRPr="00A37F20" w:rsidRDefault="006B78DA" w:rsidP="00502682">
      <w:pPr>
        <w:spacing w:line="276" w:lineRule="auto"/>
        <w:rPr>
          <w:rFonts w:eastAsia="Times New Roman" w:cstheme="minorHAnsi"/>
          <w:lang w:eastAsia="de-DE"/>
        </w:rPr>
      </w:pPr>
      <w:r w:rsidRPr="00A37F20">
        <w:rPr>
          <w:rFonts w:eastAsia="Times New Roman" w:cstheme="minorHAnsi"/>
          <w:lang w:eastAsia="de-DE"/>
        </w:rPr>
        <w:t>Die Eigenversorgung unterliegt</w:t>
      </w:r>
      <w:r w:rsidR="003043F8" w:rsidRPr="00A37F20">
        <w:rPr>
          <w:rFonts w:eastAsia="Times New Roman" w:cstheme="minorHAnsi"/>
          <w:lang w:eastAsia="de-DE"/>
        </w:rPr>
        <w:t>,</w:t>
      </w:r>
      <w:r w:rsidRPr="00A37F20">
        <w:rPr>
          <w:rFonts w:eastAsia="Times New Roman" w:cstheme="minorHAnsi"/>
          <w:lang w:eastAsia="de-DE"/>
        </w:rPr>
        <w:t xml:space="preserve"> ebenso wie der sonstige Verbrauch von Strom, der nicht von einem Elektrizitätsversorgungsunternehmen geliefert wird, weiterhin </w:t>
      </w:r>
      <w:r w:rsidRPr="00A37F20">
        <w:rPr>
          <w:rFonts w:eastAsia="Times New Roman" w:cstheme="minorHAnsi"/>
          <w:b/>
          <w:lang w:eastAsia="de-DE"/>
        </w:rPr>
        <w:t>grundsätzlich der vollen EEG-Umlage</w:t>
      </w:r>
      <w:r w:rsidR="008F279F" w:rsidRPr="00A37F20">
        <w:rPr>
          <w:rFonts w:eastAsia="Times New Roman" w:cstheme="minorHAnsi"/>
          <w:b/>
          <w:lang w:eastAsia="de-DE"/>
        </w:rPr>
        <w:t xml:space="preserve"> </w:t>
      </w:r>
      <w:r w:rsidR="008F279F" w:rsidRPr="00A37F20">
        <w:rPr>
          <w:rFonts w:eastAsia="Times New Roman" w:cstheme="minorHAnsi"/>
          <w:lang w:eastAsia="de-DE"/>
        </w:rPr>
        <w:t>(§</w:t>
      </w:r>
      <w:r w:rsidR="001E1238">
        <w:rPr>
          <w:rFonts w:eastAsia="Times New Roman" w:cstheme="minorHAnsi"/>
          <w:lang w:eastAsia="de-DE"/>
        </w:rPr>
        <w:t> </w:t>
      </w:r>
      <w:r w:rsidR="008F279F" w:rsidRPr="00A37F20">
        <w:rPr>
          <w:rFonts w:eastAsia="Times New Roman" w:cstheme="minorHAnsi"/>
          <w:lang w:eastAsia="de-DE"/>
        </w:rPr>
        <w:t>61 EEG 20</w:t>
      </w:r>
      <w:r w:rsidR="00517A83" w:rsidRPr="00A37F20">
        <w:rPr>
          <w:rFonts w:eastAsia="Times New Roman" w:cstheme="minorHAnsi"/>
          <w:lang w:eastAsia="de-DE"/>
        </w:rPr>
        <w:t>21</w:t>
      </w:r>
      <w:r w:rsidR="008F279F" w:rsidRPr="00A37F20">
        <w:rPr>
          <w:rFonts w:eastAsia="Times New Roman" w:cstheme="minorHAnsi"/>
          <w:lang w:eastAsia="de-DE"/>
        </w:rPr>
        <w:t>)</w:t>
      </w:r>
      <w:r w:rsidRPr="00A37F20">
        <w:rPr>
          <w:rFonts w:eastAsia="Times New Roman" w:cstheme="minorHAnsi"/>
          <w:lang w:eastAsia="de-DE"/>
        </w:rPr>
        <w:t xml:space="preserve">. </w:t>
      </w:r>
      <w:r w:rsidR="006D084E" w:rsidRPr="00A37F20">
        <w:rPr>
          <w:rFonts w:eastAsia="Times New Roman" w:cstheme="minorHAnsi"/>
          <w:lang w:eastAsia="de-DE"/>
        </w:rPr>
        <w:t>Die Fälle, in denen die EEG-Umlagepflicht auch künftig entfällt</w:t>
      </w:r>
      <w:r w:rsidR="00A02BC1" w:rsidRPr="00A37F20">
        <w:rPr>
          <w:rFonts w:eastAsia="Times New Roman" w:cstheme="minorHAnsi"/>
          <w:lang w:eastAsia="de-DE"/>
        </w:rPr>
        <w:t>,</w:t>
      </w:r>
      <w:r w:rsidR="00F240DA" w:rsidRPr="00A37F20">
        <w:rPr>
          <w:rFonts w:eastAsia="Times New Roman" w:cstheme="minorHAnsi"/>
          <w:lang w:eastAsia="de-DE"/>
        </w:rPr>
        <w:t xml:space="preserve"> wie</w:t>
      </w:r>
      <w:r w:rsidR="00A02BC1" w:rsidRPr="00A37F20">
        <w:rPr>
          <w:rFonts w:eastAsia="Times New Roman" w:cstheme="minorHAnsi"/>
          <w:lang w:eastAsia="de-DE"/>
        </w:rPr>
        <w:t xml:space="preserve"> z.B. </w:t>
      </w:r>
      <w:r w:rsidR="006D084E" w:rsidRPr="00A37F20">
        <w:rPr>
          <w:rFonts w:eastAsia="Times New Roman" w:cstheme="minorHAnsi"/>
          <w:lang w:eastAsia="de-DE"/>
        </w:rPr>
        <w:t xml:space="preserve">für </w:t>
      </w:r>
      <w:r w:rsidR="00AC14B5" w:rsidRPr="00A37F20">
        <w:rPr>
          <w:rFonts w:eastAsia="Times New Roman" w:cstheme="minorHAnsi"/>
          <w:lang w:eastAsia="de-DE"/>
        </w:rPr>
        <w:t xml:space="preserve">die </w:t>
      </w:r>
      <w:r w:rsidR="006D084E" w:rsidRPr="00A37F20">
        <w:rPr>
          <w:rFonts w:eastAsia="Times New Roman" w:cstheme="minorHAnsi"/>
          <w:lang w:eastAsia="de-DE"/>
        </w:rPr>
        <w:t xml:space="preserve">Eigenversorgung aus </w:t>
      </w:r>
      <w:r w:rsidR="00A02BC1" w:rsidRPr="00A37F20">
        <w:rPr>
          <w:rFonts w:eastAsia="Times New Roman" w:cstheme="minorHAnsi"/>
          <w:lang w:eastAsia="de-DE"/>
        </w:rPr>
        <w:t>Kleinanlagen</w:t>
      </w:r>
      <w:r w:rsidR="006D084E" w:rsidRPr="00A37F20">
        <w:rPr>
          <w:rFonts w:eastAsia="Times New Roman" w:cstheme="minorHAnsi"/>
          <w:lang w:eastAsia="de-DE"/>
        </w:rPr>
        <w:t xml:space="preserve"> </w:t>
      </w:r>
      <w:r w:rsidR="00DB6A90" w:rsidRPr="00A37F20">
        <w:rPr>
          <w:rFonts w:eastAsia="Times New Roman" w:cstheme="minorHAnsi"/>
          <w:lang w:eastAsia="de-DE"/>
        </w:rPr>
        <w:t xml:space="preserve">mit einer installierten Leistung </w:t>
      </w:r>
      <w:r w:rsidR="006D084E" w:rsidRPr="00A37F20">
        <w:rPr>
          <w:rFonts w:eastAsia="Times New Roman" w:cstheme="minorHAnsi"/>
          <w:lang w:eastAsia="de-DE"/>
        </w:rPr>
        <w:t xml:space="preserve">bis </w:t>
      </w:r>
      <w:r w:rsidR="00DB6A90" w:rsidRPr="00A37F20">
        <w:rPr>
          <w:rFonts w:eastAsia="Times New Roman" w:cstheme="minorHAnsi"/>
          <w:lang w:eastAsia="de-DE"/>
        </w:rPr>
        <w:t xml:space="preserve">einschließlich </w:t>
      </w:r>
      <w:r w:rsidR="006D084E" w:rsidRPr="00A37F20">
        <w:rPr>
          <w:rFonts w:eastAsia="Times New Roman" w:cstheme="minorHAnsi"/>
          <w:lang w:eastAsia="de-DE"/>
        </w:rPr>
        <w:t xml:space="preserve">10 kW für eine </w:t>
      </w:r>
      <w:r w:rsidR="00DB6A90" w:rsidRPr="00A37F20">
        <w:rPr>
          <w:rFonts w:eastAsia="Times New Roman" w:cstheme="minorHAnsi"/>
          <w:lang w:eastAsia="de-DE"/>
        </w:rPr>
        <w:t>Stromm</w:t>
      </w:r>
      <w:r w:rsidR="006D084E" w:rsidRPr="00A37F20">
        <w:rPr>
          <w:rFonts w:eastAsia="Times New Roman" w:cstheme="minorHAnsi"/>
          <w:lang w:eastAsia="de-DE"/>
        </w:rPr>
        <w:t xml:space="preserve">enge von max. 10 MWh pro </w:t>
      </w:r>
      <w:r w:rsidR="00DB6A90" w:rsidRPr="00A37F20">
        <w:rPr>
          <w:rFonts w:eastAsia="Times New Roman" w:cstheme="minorHAnsi"/>
          <w:lang w:eastAsia="de-DE"/>
        </w:rPr>
        <w:t>Kalenderj</w:t>
      </w:r>
      <w:r w:rsidR="006D084E" w:rsidRPr="00A37F20">
        <w:rPr>
          <w:rFonts w:eastAsia="Times New Roman" w:cstheme="minorHAnsi"/>
          <w:lang w:eastAsia="de-DE"/>
        </w:rPr>
        <w:t>ahr, sind in § 61a EEG</w:t>
      </w:r>
      <w:r w:rsidR="00462097" w:rsidRPr="00A37F20">
        <w:rPr>
          <w:rFonts w:eastAsia="Times New Roman" w:cstheme="minorHAnsi"/>
          <w:lang w:eastAsia="de-DE"/>
        </w:rPr>
        <w:t> </w:t>
      </w:r>
      <w:r w:rsidR="006D084E" w:rsidRPr="00A37F20">
        <w:rPr>
          <w:rFonts w:eastAsia="Times New Roman" w:cstheme="minorHAnsi"/>
          <w:lang w:eastAsia="de-DE"/>
        </w:rPr>
        <w:t>20</w:t>
      </w:r>
      <w:r w:rsidR="00517A83" w:rsidRPr="00A37F20">
        <w:rPr>
          <w:rFonts w:eastAsia="Times New Roman" w:cstheme="minorHAnsi"/>
          <w:lang w:eastAsia="de-DE"/>
        </w:rPr>
        <w:t>21</w:t>
      </w:r>
      <w:r w:rsidR="006D084E" w:rsidRPr="00A37F20">
        <w:rPr>
          <w:rFonts w:eastAsia="Times New Roman" w:cstheme="minorHAnsi"/>
          <w:lang w:eastAsia="de-DE"/>
        </w:rPr>
        <w:t xml:space="preserve"> geregelt</w:t>
      </w:r>
      <w:r w:rsidR="00E50E49" w:rsidRPr="00A37F20">
        <w:rPr>
          <w:rFonts w:eastAsia="Times New Roman" w:cstheme="minorHAnsi"/>
          <w:lang w:eastAsia="de-DE"/>
        </w:rPr>
        <w:t>, Reduzierungen der EEG-Umlagepflicht finden sich in den §§ 61b ff. EEG</w:t>
      </w:r>
      <w:r w:rsidR="00CD3CF8" w:rsidRPr="00A37F20">
        <w:rPr>
          <w:rFonts w:eastAsia="Times New Roman" w:cstheme="minorHAnsi"/>
          <w:lang w:eastAsia="de-DE"/>
        </w:rPr>
        <w:t> </w:t>
      </w:r>
      <w:r w:rsidR="00E50E49" w:rsidRPr="00A37F20">
        <w:rPr>
          <w:rFonts w:eastAsia="Times New Roman" w:cstheme="minorHAnsi"/>
          <w:lang w:eastAsia="de-DE"/>
        </w:rPr>
        <w:t>20</w:t>
      </w:r>
      <w:r w:rsidR="00517A83" w:rsidRPr="00A37F20">
        <w:rPr>
          <w:rFonts w:eastAsia="Times New Roman" w:cstheme="minorHAnsi"/>
          <w:lang w:eastAsia="de-DE"/>
        </w:rPr>
        <w:t>21</w:t>
      </w:r>
      <w:r w:rsidR="00E50E49" w:rsidRPr="00A37F20">
        <w:rPr>
          <w:rFonts w:eastAsia="Times New Roman" w:cstheme="minorHAnsi"/>
          <w:lang w:eastAsia="de-DE"/>
        </w:rPr>
        <w:t xml:space="preserve"> (neu).</w:t>
      </w:r>
    </w:p>
    <w:p w14:paraId="32E0636A" w14:textId="77777777" w:rsidR="007E638E" w:rsidRPr="00A37F20" w:rsidRDefault="007E638E" w:rsidP="00B3146B">
      <w:pPr>
        <w:rPr>
          <w:rFonts w:eastAsia="Times New Roman" w:cstheme="minorHAnsi"/>
          <w:lang w:eastAsia="de-DE"/>
        </w:rPr>
      </w:pPr>
    </w:p>
    <w:p w14:paraId="6552B944" w14:textId="3F0A62FB" w:rsidR="008B41BB" w:rsidRPr="00A37F20" w:rsidRDefault="00FB5FA5" w:rsidP="00B752D3">
      <w:pPr>
        <w:spacing w:line="276" w:lineRule="auto"/>
        <w:rPr>
          <w:rFonts w:eastAsia="Times New Roman" w:cstheme="minorHAnsi"/>
          <w:b/>
          <w:lang w:eastAsia="de-DE"/>
        </w:rPr>
      </w:pPr>
      <w:r w:rsidRPr="00A37F20">
        <w:rPr>
          <w:rFonts w:eastAsia="Times New Roman" w:cstheme="minorHAnsi"/>
          <w:b/>
          <w:lang w:eastAsia="de-DE"/>
        </w:rPr>
        <w:t xml:space="preserve">Weiterhin sind für die Messung und Berechnung </w:t>
      </w:r>
      <w:r w:rsidR="00980A9E" w:rsidRPr="00A37F20">
        <w:rPr>
          <w:rFonts w:eastAsia="Times New Roman" w:cstheme="minorHAnsi"/>
          <w:b/>
          <w:lang w:eastAsia="de-DE"/>
        </w:rPr>
        <w:t xml:space="preserve">der EEG-umlagepflichtigen Strommengen </w:t>
      </w:r>
      <w:r w:rsidRPr="00A37F20">
        <w:rPr>
          <w:rFonts w:eastAsia="Times New Roman" w:cstheme="minorHAnsi"/>
          <w:b/>
          <w:lang w:eastAsia="de-DE"/>
        </w:rPr>
        <w:t>die Vorgaben de</w:t>
      </w:r>
      <w:r w:rsidR="003D08BE" w:rsidRPr="00A37F20">
        <w:rPr>
          <w:rFonts w:eastAsia="Times New Roman" w:cstheme="minorHAnsi"/>
          <w:b/>
          <w:lang w:eastAsia="de-DE"/>
        </w:rPr>
        <w:t>r</w:t>
      </w:r>
      <w:r w:rsidRPr="00A37F20">
        <w:rPr>
          <w:rFonts w:eastAsia="Times New Roman" w:cstheme="minorHAnsi"/>
          <w:b/>
          <w:lang w:eastAsia="de-DE"/>
        </w:rPr>
        <w:t xml:space="preserve"> §</w:t>
      </w:r>
      <w:r w:rsidR="00462097" w:rsidRPr="00A37F20">
        <w:rPr>
          <w:rFonts w:eastAsia="Times New Roman" w:cstheme="minorHAnsi"/>
          <w:b/>
          <w:lang w:eastAsia="de-DE"/>
        </w:rPr>
        <w:t>§</w:t>
      </w:r>
      <w:r w:rsidRPr="00A37F20">
        <w:rPr>
          <w:rFonts w:eastAsia="Times New Roman" w:cstheme="minorHAnsi"/>
          <w:b/>
          <w:lang w:eastAsia="de-DE"/>
        </w:rPr>
        <w:t xml:space="preserve"> 62</w:t>
      </w:r>
      <w:r w:rsidR="003D08BE" w:rsidRPr="00A37F20">
        <w:rPr>
          <w:rFonts w:eastAsia="Times New Roman" w:cstheme="minorHAnsi"/>
          <w:b/>
          <w:lang w:eastAsia="de-DE"/>
        </w:rPr>
        <w:t>a</w:t>
      </w:r>
      <w:r w:rsidRPr="00A37F20">
        <w:rPr>
          <w:rFonts w:eastAsia="Times New Roman" w:cstheme="minorHAnsi"/>
          <w:b/>
          <w:lang w:eastAsia="de-DE"/>
        </w:rPr>
        <w:t xml:space="preserve"> </w:t>
      </w:r>
      <w:r w:rsidR="003D08BE" w:rsidRPr="00A37F20">
        <w:rPr>
          <w:rFonts w:eastAsia="Times New Roman" w:cstheme="minorHAnsi"/>
          <w:b/>
          <w:lang w:eastAsia="de-DE"/>
        </w:rPr>
        <w:t xml:space="preserve">und </w:t>
      </w:r>
      <w:r w:rsidR="00462097" w:rsidRPr="00A37F20">
        <w:rPr>
          <w:rFonts w:eastAsia="Times New Roman" w:cstheme="minorHAnsi"/>
          <w:b/>
          <w:lang w:eastAsia="de-DE"/>
        </w:rPr>
        <w:t>62</w:t>
      </w:r>
      <w:r w:rsidR="003D08BE" w:rsidRPr="00A37F20">
        <w:rPr>
          <w:rFonts w:eastAsia="Times New Roman" w:cstheme="minorHAnsi"/>
          <w:b/>
          <w:lang w:eastAsia="de-DE"/>
        </w:rPr>
        <w:t xml:space="preserve">b </w:t>
      </w:r>
      <w:r w:rsidRPr="00A37F20">
        <w:rPr>
          <w:rFonts w:eastAsia="Times New Roman" w:cstheme="minorHAnsi"/>
          <w:b/>
          <w:lang w:eastAsia="de-DE"/>
        </w:rPr>
        <w:t>EEG 20</w:t>
      </w:r>
      <w:r w:rsidR="00517A83" w:rsidRPr="00A37F20">
        <w:rPr>
          <w:rFonts w:eastAsia="Times New Roman" w:cstheme="minorHAnsi"/>
          <w:b/>
          <w:lang w:eastAsia="de-DE"/>
        </w:rPr>
        <w:t>21</w:t>
      </w:r>
      <w:r w:rsidRPr="00A37F20">
        <w:rPr>
          <w:rFonts w:eastAsia="Times New Roman" w:cstheme="minorHAnsi"/>
          <w:b/>
          <w:lang w:eastAsia="de-DE"/>
        </w:rPr>
        <w:t xml:space="preserve"> zu beachten</w:t>
      </w:r>
      <w:r w:rsidR="00E50E49" w:rsidRPr="00A37F20">
        <w:rPr>
          <w:rFonts w:eastAsia="Times New Roman" w:cstheme="minorHAnsi"/>
          <w:b/>
          <w:lang w:eastAsia="de-DE"/>
        </w:rPr>
        <w:t xml:space="preserve"> (siehe dazu auch </w:t>
      </w:r>
      <w:r w:rsidR="00C57FDE" w:rsidRPr="00A37F20">
        <w:rPr>
          <w:rFonts w:eastAsia="Times New Roman" w:cstheme="minorHAnsi"/>
          <w:b/>
          <w:lang w:eastAsia="de-DE"/>
        </w:rPr>
        <w:t>den Fragebogen „Messung und Schätzung</w:t>
      </w:r>
      <w:r w:rsidR="003538F2" w:rsidRPr="00A37F20">
        <w:rPr>
          <w:rFonts w:eastAsia="Times New Roman" w:cstheme="minorHAnsi"/>
          <w:b/>
          <w:lang w:eastAsia="de-DE"/>
        </w:rPr>
        <w:t>“</w:t>
      </w:r>
      <w:r w:rsidR="00E50E49" w:rsidRPr="00A37F20">
        <w:rPr>
          <w:rFonts w:eastAsia="Times New Roman" w:cstheme="minorHAnsi"/>
          <w:b/>
          <w:lang w:eastAsia="de-DE"/>
        </w:rPr>
        <w:t>)</w:t>
      </w:r>
      <w:r w:rsidR="00303692" w:rsidRPr="00A37F20">
        <w:rPr>
          <w:rFonts w:eastAsia="Times New Roman" w:cstheme="minorHAnsi"/>
          <w:b/>
          <w:lang w:eastAsia="de-DE"/>
        </w:rPr>
        <w:t xml:space="preserve">. Die BNetzA hat zu diesem Themenkomplex einen </w:t>
      </w:r>
      <w:hyperlink r:id="rId10" w:history="1">
        <w:r w:rsidR="00303692" w:rsidRPr="00A37F20">
          <w:rPr>
            <w:rStyle w:val="Hyperlink"/>
            <w:rFonts w:eastAsia="Times New Roman" w:cstheme="minorHAnsi"/>
            <w:b/>
            <w:lang w:eastAsia="de-DE"/>
          </w:rPr>
          <w:t>Leitfaden</w:t>
        </w:r>
      </w:hyperlink>
      <w:r w:rsidR="00303692" w:rsidRPr="00A37F20">
        <w:rPr>
          <w:rFonts w:eastAsia="Times New Roman" w:cstheme="minorHAnsi"/>
          <w:b/>
          <w:lang w:eastAsia="de-DE"/>
        </w:rPr>
        <w:t xml:space="preserve"> veröffentlicht, der die Rechtsauffassung der BNetzA und verschiedene Vereinfachungsansätze darstellt.</w:t>
      </w:r>
    </w:p>
    <w:p w14:paraId="319A44CA" w14:textId="77777777" w:rsidR="00621CAC" w:rsidRPr="00A37F20" w:rsidRDefault="00621CAC" w:rsidP="00B752D3">
      <w:pPr>
        <w:spacing w:line="276" w:lineRule="auto"/>
        <w:rPr>
          <w:rFonts w:eastAsia="Times New Roman" w:cstheme="minorHAnsi"/>
          <w:b/>
          <w:lang w:eastAsia="de-DE"/>
        </w:rPr>
      </w:pPr>
    </w:p>
    <w:p w14:paraId="064DC01E" w14:textId="40C4ADE8" w:rsidR="002121A1" w:rsidRPr="00A37F20" w:rsidRDefault="00FB5FA5">
      <w:pPr>
        <w:spacing w:line="276" w:lineRule="auto"/>
        <w:rPr>
          <w:rFonts w:cstheme="minorHAnsi"/>
        </w:rPr>
      </w:pPr>
      <w:r w:rsidRPr="00A37F20">
        <w:rPr>
          <w:rFonts w:cstheme="minorHAnsi"/>
        </w:rPr>
        <w:t xml:space="preserve">Nach der Systematik des EEG </w:t>
      </w:r>
      <w:r w:rsidR="00517A83" w:rsidRPr="00A37F20">
        <w:rPr>
          <w:rFonts w:cstheme="minorHAnsi"/>
        </w:rPr>
        <w:t>2021</w:t>
      </w:r>
      <w:r w:rsidRPr="00A37F20">
        <w:rPr>
          <w:rFonts w:cstheme="minorHAnsi"/>
        </w:rPr>
        <w:t xml:space="preserve"> ist zunächst zu ermitteln, wer als Letztverbraucher anzusehen ist. „Bagatellverbräuche“</w:t>
      </w:r>
      <w:r w:rsidR="002121A1" w:rsidRPr="00A37F20">
        <w:rPr>
          <w:rFonts w:cstheme="minorHAnsi"/>
        </w:rPr>
        <w:t>, d.h. geringfügige Stromverbräuche von Dritten</w:t>
      </w:r>
      <w:r w:rsidR="00462097" w:rsidRPr="00A37F20">
        <w:rPr>
          <w:rFonts w:cstheme="minorHAnsi"/>
        </w:rPr>
        <w:t xml:space="preserve"> </w:t>
      </w:r>
      <w:r w:rsidRPr="00A37F20">
        <w:rPr>
          <w:rFonts w:cstheme="minorHAnsi"/>
        </w:rPr>
        <w:t xml:space="preserve">nach § 62a EEG </w:t>
      </w:r>
      <w:r w:rsidR="00517A83" w:rsidRPr="00A37F20">
        <w:rPr>
          <w:rFonts w:cstheme="minorHAnsi"/>
        </w:rPr>
        <w:t>2021</w:t>
      </w:r>
      <w:r w:rsidRPr="00A37F20">
        <w:rPr>
          <w:rFonts w:cstheme="minorHAnsi"/>
        </w:rPr>
        <w:t xml:space="preserve"> </w:t>
      </w:r>
      <w:r w:rsidR="008B41BB" w:rsidRPr="00A37F20">
        <w:rPr>
          <w:rFonts w:cstheme="minorHAnsi"/>
        </w:rPr>
        <w:t xml:space="preserve">werden nicht separat von den Eigenversorgungsmengen erfasst oder gemeldet. </w:t>
      </w:r>
      <w:r w:rsidR="002121A1" w:rsidRPr="00A37F20">
        <w:rPr>
          <w:rFonts w:cstheme="minorHAnsi"/>
        </w:rPr>
        <w:t>Eine Zurechnung von Drittmengen zu Eigenversorgungs-/Eigenerzeugungsmengen findet statt, wenn die Stromverbräuche des Dritten</w:t>
      </w:r>
    </w:p>
    <w:p w14:paraId="6FD0045B" w14:textId="77777777" w:rsidR="002121A1" w:rsidRPr="00A37F20" w:rsidRDefault="002121A1" w:rsidP="004C01AE">
      <w:pPr>
        <w:pStyle w:val="Listenabsatz"/>
        <w:numPr>
          <w:ilvl w:val="0"/>
          <w:numId w:val="32"/>
        </w:numPr>
        <w:spacing w:line="276" w:lineRule="auto"/>
        <w:rPr>
          <w:rFonts w:cstheme="minorHAnsi"/>
        </w:rPr>
      </w:pPr>
      <w:r w:rsidRPr="00A37F20">
        <w:rPr>
          <w:rFonts w:cstheme="minorHAnsi"/>
        </w:rPr>
        <w:t>geringfügig sind,</w:t>
      </w:r>
    </w:p>
    <w:p w14:paraId="1A43FF83" w14:textId="77777777" w:rsidR="002121A1" w:rsidRPr="00A37F20" w:rsidRDefault="002121A1" w:rsidP="004C01AE">
      <w:pPr>
        <w:pStyle w:val="Listenabsatz"/>
        <w:numPr>
          <w:ilvl w:val="0"/>
          <w:numId w:val="32"/>
        </w:numPr>
        <w:spacing w:line="276" w:lineRule="auto"/>
        <w:rPr>
          <w:rFonts w:cstheme="minorHAnsi"/>
        </w:rPr>
      </w:pPr>
      <w:r w:rsidRPr="00A37F20">
        <w:rPr>
          <w:rFonts w:cstheme="minorHAnsi"/>
        </w:rPr>
        <w:t>üblicher Weise und im konkreten Fall nicht abgerechnet werden und</w:t>
      </w:r>
    </w:p>
    <w:p w14:paraId="3DAE0029" w14:textId="77777777" w:rsidR="002121A1" w:rsidRPr="00A37F20" w:rsidRDefault="002121A1" w:rsidP="004C01AE">
      <w:pPr>
        <w:pStyle w:val="Listenabsatz"/>
        <w:numPr>
          <w:ilvl w:val="0"/>
          <w:numId w:val="32"/>
        </w:numPr>
        <w:spacing w:line="276" w:lineRule="auto"/>
        <w:rPr>
          <w:rFonts w:cstheme="minorHAnsi"/>
        </w:rPr>
      </w:pPr>
      <w:r w:rsidRPr="00A37F20">
        <w:rPr>
          <w:rFonts w:cstheme="minorHAnsi"/>
        </w:rPr>
        <w:t xml:space="preserve">verbraucht werden </w:t>
      </w:r>
    </w:p>
    <w:p w14:paraId="5748E7E1" w14:textId="7447D96E" w:rsidR="002121A1" w:rsidRPr="00A37F20" w:rsidRDefault="002121A1" w:rsidP="004C01AE">
      <w:pPr>
        <w:pStyle w:val="Listenabsatz"/>
        <w:numPr>
          <w:ilvl w:val="1"/>
          <w:numId w:val="32"/>
        </w:numPr>
        <w:spacing w:line="276" w:lineRule="auto"/>
        <w:rPr>
          <w:rFonts w:cstheme="minorHAnsi"/>
        </w:rPr>
      </w:pPr>
      <w:r w:rsidRPr="00A37F20">
        <w:rPr>
          <w:rFonts w:cstheme="minorHAnsi"/>
        </w:rPr>
        <w:t xml:space="preserve">in den Räumlichkeiten, auf dem Grundstück oder dem Betriebsgelände des Eigenversorgers/Eigenerzeugers und </w:t>
      </w:r>
    </w:p>
    <w:p w14:paraId="22F48B6A" w14:textId="77777777" w:rsidR="002121A1" w:rsidRPr="00A37F20" w:rsidRDefault="002121A1" w:rsidP="004C01AE">
      <w:pPr>
        <w:pStyle w:val="Listenabsatz"/>
        <w:numPr>
          <w:ilvl w:val="1"/>
          <w:numId w:val="32"/>
        </w:numPr>
        <w:spacing w:line="276" w:lineRule="auto"/>
        <w:rPr>
          <w:rFonts w:cstheme="minorHAnsi"/>
        </w:rPr>
      </w:pPr>
      <w:r w:rsidRPr="00A37F20">
        <w:rPr>
          <w:rFonts w:cstheme="minorHAnsi"/>
        </w:rPr>
        <w:t>im Fall einer gewerblichen Nutzung zur Erbringung einer Leistung des Dritten gegenüber dem Eigenversorger/ Eigenerzeuger oder des Eigenversorgers/Letztverbrauchers gegenüber der anderen Person.</w:t>
      </w:r>
    </w:p>
    <w:p w14:paraId="1A9531D5" w14:textId="77777777" w:rsidR="002121A1" w:rsidRPr="00A37F20" w:rsidRDefault="002121A1" w:rsidP="002121A1">
      <w:pPr>
        <w:spacing w:line="276" w:lineRule="auto"/>
        <w:rPr>
          <w:rFonts w:cstheme="minorHAnsi"/>
        </w:rPr>
      </w:pPr>
    </w:p>
    <w:p w14:paraId="2930242A" w14:textId="5450643D" w:rsidR="001E1238" w:rsidRDefault="008B41BB" w:rsidP="002121A1">
      <w:pPr>
        <w:spacing w:line="276" w:lineRule="auto"/>
        <w:rPr>
          <w:rFonts w:cstheme="minorHAnsi"/>
        </w:rPr>
      </w:pPr>
      <w:r w:rsidRPr="00A37F20">
        <w:rPr>
          <w:rFonts w:cstheme="minorHAnsi"/>
        </w:rPr>
        <w:t xml:space="preserve">Das Risiko, dass es sich nicht um Bagatellverbräuche, sondern EEG-umlagepflichtige Drittmengen handelt, liegt beim Eigenversorger, der diese Mengen </w:t>
      </w:r>
      <w:r w:rsidRPr="00A37F20">
        <w:rPr>
          <w:rFonts w:cstheme="minorHAnsi"/>
          <w:b/>
        </w:rPr>
        <w:t>nicht separat</w:t>
      </w:r>
      <w:r w:rsidRPr="00A37F20">
        <w:rPr>
          <w:rFonts w:cstheme="minorHAnsi"/>
        </w:rPr>
        <w:t xml:space="preserve"> an den ggf. zuständigen Ü</w:t>
      </w:r>
      <w:r w:rsidR="003A60B6" w:rsidRPr="00A37F20">
        <w:rPr>
          <w:rFonts w:cstheme="minorHAnsi"/>
        </w:rPr>
        <w:t>bertragungsnetzbetreiber</w:t>
      </w:r>
      <w:r w:rsidRPr="00A37F20">
        <w:rPr>
          <w:rFonts w:cstheme="minorHAnsi"/>
        </w:rPr>
        <w:t xml:space="preserve"> meldet und hierfür die EEG-Umlage zahlt.</w:t>
      </w:r>
      <w:r w:rsidR="00FB5FA5" w:rsidRPr="00A37F20">
        <w:rPr>
          <w:rFonts w:cstheme="minorHAnsi"/>
        </w:rPr>
        <w:t xml:space="preserve"> </w:t>
      </w:r>
    </w:p>
    <w:p w14:paraId="02205115" w14:textId="77777777" w:rsidR="001E1238" w:rsidRPr="00A37F20" w:rsidRDefault="001E1238" w:rsidP="002121A1">
      <w:pPr>
        <w:spacing w:line="276" w:lineRule="auto"/>
        <w:rPr>
          <w:rFonts w:cstheme="minorHAnsi"/>
        </w:rPr>
      </w:pPr>
    </w:p>
    <w:p w14:paraId="04DFB980" w14:textId="4009EA81" w:rsidR="008B41BB" w:rsidRDefault="00FB5FA5" w:rsidP="00A37F20">
      <w:pPr>
        <w:spacing w:line="276" w:lineRule="auto"/>
        <w:rPr>
          <w:rFonts w:cstheme="minorHAnsi"/>
        </w:rPr>
      </w:pPr>
      <w:r w:rsidRPr="00A37F20">
        <w:rPr>
          <w:rFonts w:cstheme="minorHAnsi"/>
        </w:rPr>
        <w:t xml:space="preserve">Handelt es sich nicht um Bagatellverbräuche, aber um Strommengen, die unterschiedlichen Umlagesätzen unterliegen, ist </w:t>
      </w:r>
      <w:r w:rsidR="00462097" w:rsidRPr="00A37F20">
        <w:rPr>
          <w:rFonts w:cstheme="minorHAnsi"/>
        </w:rPr>
        <w:t>grundsätzlich</w:t>
      </w:r>
      <w:r w:rsidRPr="00A37F20">
        <w:rPr>
          <w:rFonts w:cstheme="minorHAnsi"/>
        </w:rPr>
        <w:t xml:space="preserve"> eine Erfassung und Abgrenzung dieser Strommengen durch mess- und eichrechtskonforme</w:t>
      </w:r>
      <w:r w:rsidR="008B41BB" w:rsidRPr="00A37F20">
        <w:rPr>
          <w:rFonts w:cstheme="minorHAnsi"/>
        </w:rPr>
        <w:t xml:space="preserve"> Messeinrichtungen erforderlich</w:t>
      </w:r>
      <w:r w:rsidR="00A57470" w:rsidRPr="00A37F20">
        <w:rPr>
          <w:rFonts w:cstheme="minorHAnsi"/>
        </w:rPr>
        <w:t xml:space="preserve"> (§ 62b Abs. 1 EEG 20</w:t>
      </w:r>
      <w:r w:rsidR="00517A83" w:rsidRPr="00A37F20">
        <w:rPr>
          <w:rFonts w:cstheme="minorHAnsi"/>
        </w:rPr>
        <w:t>21</w:t>
      </w:r>
      <w:r w:rsidR="00A57470" w:rsidRPr="00A37F20">
        <w:rPr>
          <w:rFonts w:cstheme="minorHAnsi"/>
        </w:rPr>
        <w:t>)</w:t>
      </w:r>
      <w:r w:rsidR="008B41BB" w:rsidRPr="00A37F20">
        <w:rPr>
          <w:rFonts w:cstheme="minorHAnsi"/>
        </w:rPr>
        <w:t>.</w:t>
      </w:r>
      <w:r w:rsidR="00A57470" w:rsidRPr="00A37F20">
        <w:rPr>
          <w:rFonts w:cstheme="minorHAnsi"/>
        </w:rPr>
        <w:t xml:space="preserve"> </w:t>
      </w:r>
      <w:r w:rsidRPr="00A37F20">
        <w:rPr>
          <w:rFonts w:cstheme="minorHAnsi"/>
        </w:rPr>
        <w:t>Wenn bestimmte Voraussetzungen vorliegen und umfangreiche Nachweise erbracht werden, können diese Strommengen a</w:t>
      </w:r>
      <w:r w:rsidR="008B41BB" w:rsidRPr="00A37F20">
        <w:rPr>
          <w:rFonts w:cstheme="minorHAnsi"/>
        </w:rPr>
        <w:t>ber auch geschätzt werden</w:t>
      </w:r>
      <w:r w:rsidR="00A57470" w:rsidRPr="00A37F20">
        <w:rPr>
          <w:rFonts w:cstheme="minorHAnsi"/>
        </w:rPr>
        <w:t xml:space="preserve"> (§ 62b Abs. 2 bis 5 EEG 20</w:t>
      </w:r>
      <w:r w:rsidR="00517A83" w:rsidRPr="00A37F20">
        <w:rPr>
          <w:rFonts w:cstheme="minorHAnsi"/>
        </w:rPr>
        <w:t>21</w:t>
      </w:r>
      <w:r w:rsidR="00A57470" w:rsidRPr="00A37F20">
        <w:rPr>
          <w:rFonts w:cstheme="minorHAnsi"/>
        </w:rPr>
        <w:t>)</w:t>
      </w:r>
      <w:r w:rsidR="008B41BB" w:rsidRPr="00A37F20">
        <w:rPr>
          <w:rFonts w:cstheme="minorHAnsi"/>
        </w:rPr>
        <w:t>.</w:t>
      </w:r>
    </w:p>
    <w:p w14:paraId="1CD9CDDC" w14:textId="77777777" w:rsidR="003366BC" w:rsidRDefault="003366BC" w:rsidP="00A37F20">
      <w:pPr>
        <w:spacing w:line="276" w:lineRule="auto"/>
        <w:rPr>
          <w:rFonts w:cstheme="minorHAnsi"/>
        </w:rPr>
      </w:pPr>
    </w:p>
    <w:p w14:paraId="57762A1C" w14:textId="0B7EDC65" w:rsidR="003366BC" w:rsidRPr="00A37F20" w:rsidRDefault="003366BC" w:rsidP="00A37F20">
      <w:pPr>
        <w:spacing w:line="276" w:lineRule="auto"/>
        <w:rPr>
          <w:rFonts w:cstheme="minorHAnsi"/>
        </w:rPr>
      </w:pPr>
      <w:r>
        <w:rPr>
          <w:rFonts w:cstheme="minorHAnsi"/>
        </w:rPr>
        <w:t xml:space="preserve">Bitte beachten Sie auch die </w:t>
      </w:r>
      <w:hyperlink r:id="rId11" w:history="1">
        <w:r>
          <w:rPr>
            <w:rStyle w:val="Hyperlink"/>
            <w:rFonts w:cstheme="minorHAnsi"/>
          </w:rPr>
          <w:t>Hinweise</w:t>
        </w:r>
      </w:hyperlink>
      <w:r>
        <w:rPr>
          <w:rFonts w:cstheme="minorHAnsi"/>
        </w:rPr>
        <w:t xml:space="preserve"> der Übertragungsnetzbetreiber zu Messen und Schätzen. </w:t>
      </w:r>
    </w:p>
    <w:p w14:paraId="7D5FF408" w14:textId="77777777" w:rsidR="00A57470" w:rsidRPr="00A37F20" w:rsidRDefault="00A57470" w:rsidP="008C12F2">
      <w:pPr>
        <w:spacing w:before="120"/>
        <w:rPr>
          <w:rFonts w:cstheme="minorHAnsi"/>
        </w:rPr>
      </w:pPr>
    </w:p>
    <w:p w14:paraId="4637B979" w14:textId="305A9F03" w:rsidR="00DA4E2A" w:rsidRPr="00A37F20" w:rsidRDefault="00A57470" w:rsidP="008B41BB">
      <w:pPr>
        <w:spacing w:line="276" w:lineRule="auto"/>
        <w:rPr>
          <w:rFonts w:cstheme="minorHAnsi"/>
          <w:b/>
        </w:rPr>
      </w:pPr>
      <w:r w:rsidRPr="00A37F20">
        <w:rPr>
          <w:rFonts w:cstheme="minorHAnsi"/>
          <w:b/>
        </w:rPr>
        <w:t>Für</w:t>
      </w:r>
      <w:r w:rsidR="00980A9E" w:rsidRPr="00A37F20">
        <w:rPr>
          <w:rFonts w:cstheme="minorHAnsi"/>
          <w:b/>
        </w:rPr>
        <w:t xml:space="preserve"> die Kalenderjahre </w:t>
      </w:r>
      <w:r w:rsidR="00DA4E2A" w:rsidRPr="00A37F20">
        <w:rPr>
          <w:rFonts w:cstheme="minorHAnsi"/>
          <w:b/>
        </w:rPr>
        <w:t>20</w:t>
      </w:r>
      <w:r w:rsidR="00517A83" w:rsidRPr="00A37F20">
        <w:rPr>
          <w:rFonts w:cstheme="minorHAnsi"/>
          <w:b/>
        </w:rPr>
        <w:t>20</w:t>
      </w:r>
      <w:r w:rsidR="00DA4E2A" w:rsidRPr="00A37F20">
        <w:rPr>
          <w:rFonts w:cstheme="minorHAnsi"/>
          <w:b/>
        </w:rPr>
        <w:t xml:space="preserve"> </w:t>
      </w:r>
      <w:r w:rsidR="00980A9E" w:rsidRPr="00A37F20">
        <w:rPr>
          <w:rFonts w:cstheme="minorHAnsi"/>
          <w:b/>
        </w:rPr>
        <w:t>und</w:t>
      </w:r>
      <w:r w:rsidR="00DA4E2A" w:rsidRPr="00A37F20">
        <w:rPr>
          <w:rFonts w:cstheme="minorHAnsi"/>
          <w:b/>
        </w:rPr>
        <w:t xml:space="preserve"> 202</w:t>
      </w:r>
      <w:r w:rsidR="00517A83" w:rsidRPr="00A37F20">
        <w:rPr>
          <w:rFonts w:cstheme="minorHAnsi"/>
          <w:b/>
        </w:rPr>
        <w:t>1</w:t>
      </w:r>
      <w:r w:rsidRPr="00A37F20">
        <w:rPr>
          <w:rFonts w:cstheme="minorHAnsi"/>
          <w:b/>
        </w:rPr>
        <w:t xml:space="preserve"> ist</w:t>
      </w:r>
      <w:r w:rsidR="00DA4E2A" w:rsidRPr="00A37F20">
        <w:rPr>
          <w:rFonts w:cstheme="minorHAnsi"/>
          <w:b/>
        </w:rPr>
        <w:t xml:space="preserve"> die Übergangsregelung des §</w:t>
      </w:r>
      <w:r w:rsidR="00BF4D92" w:rsidRPr="00A37F20">
        <w:rPr>
          <w:rFonts w:cstheme="minorHAnsi"/>
          <w:b/>
        </w:rPr>
        <w:t> </w:t>
      </w:r>
      <w:r w:rsidR="00DA4E2A" w:rsidRPr="00A37F20">
        <w:rPr>
          <w:rFonts w:cstheme="minorHAnsi"/>
          <w:b/>
        </w:rPr>
        <w:t>104 Abs. 10 EEG</w:t>
      </w:r>
      <w:r w:rsidRPr="00A37F20">
        <w:rPr>
          <w:rFonts w:cstheme="minorHAnsi"/>
          <w:b/>
        </w:rPr>
        <w:t> </w:t>
      </w:r>
      <w:r w:rsidR="00DA4E2A" w:rsidRPr="00A37F20">
        <w:rPr>
          <w:rFonts w:cstheme="minorHAnsi"/>
          <w:b/>
        </w:rPr>
        <w:t>20</w:t>
      </w:r>
      <w:r w:rsidR="00517A83" w:rsidRPr="00A37F20">
        <w:rPr>
          <w:rFonts w:cstheme="minorHAnsi"/>
          <w:b/>
        </w:rPr>
        <w:t>21</w:t>
      </w:r>
      <w:r w:rsidRPr="00A37F20">
        <w:rPr>
          <w:rFonts w:cstheme="minorHAnsi"/>
          <w:b/>
        </w:rPr>
        <w:t xml:space="preserve"> zu beachten</w:t>
      </w:r>
      <w:r w:rsidR="00DA4E2A" w:rsidRPr="00A37F20">
        <w:rPr>
          <w:rFonts w:cstheme="minorHAnsi"/>
          <w:b/>
        </w:rPr>
        <w:t>.</w:t>
      </w:r>
      <w:r w:rsidRPr="00A37F20">
        <w:rPr>
          <w:rFonts w:cstheme="minorHAnsi"/>
          <w:b/>
        </w:rPr>
        <w:t xml:space="preserve"> </w:t>
      </w:r>
      <w:r w:rsidR="00517A83" w:rsidRPr="00A37F20">
        <w:rPr>
          <w:rFonts w:cstheme="minorHAnsi"/>
          <w:b/>
        </w:rPr>
        <w:t xml:space="preserve">Die Übergangsfrist wurde durch das EEG 2021 um ein Jahr verlängert. </w:t>
      </w:r>
      <w:r w:rsidR="00DA4E2A" w:rsidRPr="00A37F20">
        <w:rPr>
          <w:rFonts w:cstheme="minorHAnsi"/>
          <w:b/>
        </w:rPr>
        <w:t xml:space="preserve">Erst </w:t>
      </w:r>
      <w:r w:rsidR="00517A83" w:rsidRPr="00A37F20">
        <w:rPr>
          <w:rFonts w:cstheme="minorHAnsi"/>
          <w:b/>
        </w:rPr>
        <w:t xml:space="preserve">für die Endabrechnung </w:t>
      </w:r>
      <w:r w:rsidR="00517A83" w:rsidRPr="00A37F20">
        <w:rPr>
          <w:rFonts w:cstheme="minorHAnsi"/>
          <w:b/>
        </w:rPr>
        <w:lastRenderedPageBreak/>
        <w:t>des Kalenderjahres 2021</w:t>
      </w:r>
      <w:r w:rsidR="00DA4E2A" w:rsidRPr="00A37F20">
        <w:rPr>
          <w:rFonts w:cstheme="minorHAnsi"/>
          <w:b/>
        </w:rPr>
        <w:t xml:space="preserve"> ist der Nachweis zu erbringen, dass ab </w:t>
      </w:r>
      <w:r w:rsidR="00517A83" w:rsidRPr="00A37F20">
        <w:rPr>
          <w:rFonts w:cstheme="minorHAnsi"/>
          <w:b/>
        </w:rPr>
        <w:t xml:space="preserve">dem 1. Januar </w:t>
      </w:r>
      <w:r w:rsidR="00DA4E2A" w:rsidRPr="00A37F20">
        <w:rPr>
          <w:rFonts w:cstheme="minorHAnsi"/>
          <w:b/>
        </w:rPr>
        <w:t>202</w:t>
      </w:r>
      <w:r w:rsidR="00517A83" w:rsidRPr="00A37F20">
        <w:rPr>
          <w:rFonts w:cstheme="minorHAnsi"/>
          <w:b/>
        </w:rPr>
        <w:t>2</w:t>
      </w:r>
      <w:r w:rsidR="00DA4E2A" w:rsidRPr="00A37F20">
        <w:rPr>
          <w:rFonts w:cstheme="minorHAnsi"/>
          <w:b/>
        </w:rPr>
        <w:t xml:space="preserve"> § 62b Abs. 1 und 2 EEG 2017 eingehalten wird (Messung oder Schätzbefugnis). Für Strommengen</w:t>
      </w:r>
      <w:r w:rsidR="00980A9E" w:rsidRPr="00A37F20">
        <w:rPr>
          <w:rFonts w:cstheme="minorHAnsi"/>
          <w:b/>
        </w:rPr>
        <w:t>,</w:t>
      </w:r>
      <w:r w:rsidR="00DA4E2A" w:rsidRPr="00A37F20">
        <w:rPr>
          <w:rFonts w:cstheme="minorHAnsi"/>
          <w:b/>
        </w:rPr>
        <w:t xml:space="preserve"> die vor dem 1. Januar 2018 verbraucht wurden</w:t>
      </w:r>
      <w:r w:rsidR="00980A9E" w:rsidRPr="00A37F20">
        <w:rPr>
          <w:rFonts w:cstheme="minorHAnsi"/>
          <w:b/>
        </w:rPr>
        <w:t>,</w:t>
      </w:r>
      <w:r w:rsidR="00DA4E2A" w:rsidRPr="00A37F20">
        <w:rPr>
          <w:rFonts w:cstheme="minorHAnsi"/>
          <w:b/>
        </w:rPr>
        <w:t xml:space="preserve"> gilt das Leistungsverweigerungsrecht des § 104 Abs. 11 EEG </w:t>
      </w:r>
      <w:r w:rsidR="00517A83" w:rsidRPr="00A37F20">
        <w:rPr>
          <w:rFonts w:cstheme="minorHAnsi"/>
          <w:b/>
        </w:rPr>
        <w:t xml:space="preserve">2021 </w:t>
      </w:r>
      <w:r w:rsidR="00DA4E2A" w:rsidRPr="00A37F20">
        <w:rPr>
          <w:rFonts w:cstheme="minorHAnsi"/>
          <w:b/>
        </w:rPr>
        <w:t>(keine Amnestie).</w:t>
      </w:r>
    </w:p>
    <w:p w14:paraId="5AC1B6C1" w14:textId="77777777" w:rsidR="003D08BE" w:rsidRPr="00A37F20" w:rsidRDefault="003D08BE" w:rsidP="008B41BB">
      <w:pPr>
        <w:spacing w:line="276" w:lineRule="auto"/>
        <w:rPr>
          <w:rFonts w:eastAsia="Times New Roman" w:cstheme="minorHAnsi"/>
          <w:b/>
          <w:lang w:eastAsia="de-DE"/>
        </w:rPr>
      </w:pPr>
    </w:p>
    <w:p w14:paraId="74E998E8" w14:textId="77777777" w:rsidR="003D08BE" w:rsidRPr="00A37F20" w:rsidRDefault="003D08BE" w:rsidP="00B3146B">
      <w:pPr>
        <w:rPr>
          <w:rFonts w:eastAsia="Times New Roman" w:cstheme="minorHAnsi"/>
          <w:b/>
          <w:sz w:val="24"/>
          <w:szCs w:val="24"/>
          <w:lang w:eastAsia="de-DE"/>
        </w:rPr>
      </w:pPr>
    </w:p>
    <w:p w14:paraId="409BEF5F" w14:textId="77777777" w:rsidR="00B752D3" w:rsidRPr="00A37F20" w:rsidRDefault="00B752D3" w:rsidP="00B3146B">
      <w:pPr>
        <w:rPr>
          <w:rFonts w:eastAsia="Times New Roman" w:cstheme="minorHAnsi"/>
          <w:b/>
          <w:sz w:val="24"/>
          <w:szCs w:val="24"/>
          <w:lang w:eastAsia="de-DE"/>
        </w:rPr>
      </w:pPr>
      <w:r w:rsidRPr="00A37F20">
        <w:rPr>
          <w:rFonts w:eastAsia="Times New Roman" w:cstheme="minorHAnsi"/>
          <w:b/>
          <w:sz w:val="24"/>
          <w:szCs w:val="24"/>
          <w:lang w:eastAsia="de-DE"/>
        </w:rPr>
        <w:t xml:space="preserve">Meldepflichten </w:t>
      </w:r>
    </w:p>
    <w:p w14:paraId="393AE95A" w14:textId="77777777" w:rsidR="00CD5BCF" w:rsidRPr="00A37F20" w:rsidRDefault="00CD5BCF" w:rsidP="00B3146B">
      <w:pPr>
        <w:rPr>
          <w:rFonts w:eastAsia="Times New Roman" w:cstheme="minorHAnsi"/>
          <w:lang w:eastAsia="de-DE"/>
        </w:rPr>
      </w:pPr>
    </w:p>
    <w:p w14:paraId="2416F35F" w14:textId="2C841518" w:rsidR="007E638E" w:rsidRPr="00A37F20" w:rsidRDefault="007E638E" w:rsidP="007E638E">
      <w:pPr>
        <w:spacing w:line="276" w:lineRule="auto"/>
        <w:rPr>
          <w:rFonts w:eastAsia="Times New Roman" w:cstheme="minorHAnsi"/>
          <w:lang w:eastAsia="de-DE"/>
        </w:rPr>
      </w:pPr>
      <w:r w:rsidRPr="00A37F20">
        <w:rPr>
          <w:rFonts w:eastAsia="Times New Roman" w:cstheme="minorHAnsi"/>
          <w:lang w:eastAsia="de-DE"/>
        </w:rPr>
        <w:t xml:space="preserve">Nach </w:t>
      </w:r>
      <w:r w:rsidRPr="00A37F20">
        <w:rPr>
          <w:rFonts w:eastAsia="Times New Roman" w:cstheme="minorHAnsi"/>
          <w:b/>
          <w:lang w:eastAsia="de-DE"/>
        </w:rPr>
        <w:t>§ 74a Abs. 1 EEG 20</w:t>
      </w:r>
      <w:r w:rsidR="0073327D" w:rsidRPr="00A37F20">
        <w:rPr>
          <w:rFonts w:eastAsia="Times New Roman" w:cstheme="minorHAnsi"/>
          <w:b/>
          <w:lang w:eastAsia="de-DE"/>
        </w:rPr>
        <w:t>21</w:t>
      </w:r>
      <w:r w:rsidRPr="00A37F20">
        <w:rPr>
          <w:rFonts w:eastAsia="Times New Roman" w:cstheme="minorHAnsi"/>
          <w:lang w:eastAsia="de-DE"/>
        </w:rPr>
        <w:t xml:space="preserve"> müssen </w:t>
      </w:r>
      <w:r w:rsidRPr="00A37F20">
        <w:rPr>
          <w:rFonts w:eastAsia="Times New Roman" w:cstheme="minorHAnsi"/>
          <w:b/>
          <w:lang w:eastAsia="de-DE"/>
        </w:rPr>
        <w:t>Eigenversorger/Letztverbraucher</w:t>
      </w:r>
      <w:r w:rsidRPr="00A37F20">
        <w:rPr>
          <w:rFonts w:eastAsia="Times New Roman" w:cstheme="minorHAnsi"/>
          <w:lang w:eastAsia="de-DE"/>
        </w:rPr>
        <w:t xml:space="preserve"> dem zuständigen Netzbetreiber – </w:t>
      </w:r>
      <w:r w:rsidRPr="00A37F20">
        <w:rPr>
          <w:rFonts w:eastAsia="Times New Roman" w:cstheme="minorHAnsi"/>
          <w:b/>
          <w:lang w:eastAsia="de-DE"/>
        </w:rPr>
        <w:t>soweit noch nicht geschehen</w:t>
      </w:r>
      <w:r w:rsidRPr="00A37F20">
        <w:rPr>
          <w:rFonts w:eastAsia="Times New Roman" w:cstheme="minorHAnsi"/>
          <w:lang w:eastAsia="de-DE"/>
        </w:rPr>
        <w:t xml:space="preserve"> – unverzüglich alle Angaben übermitteln, die dieser zur Prüfung der EEG-Umlagepflicht für den in der Stromerzeugungsanlage erzeugten und für die Eigenversorgung oder zu sonstigen Zwecken verbrauchten Strom benötigt. Das gilt insbesondere, soweit sich seit der letzten Meldung relevante Änderungen ergeben haben. </w:t>
      </w:r>
    </w:p>
    <w:p w14:paraId="1F83368A" w14:textId="77777777" w:rsidR="007E638E" w:rsidRPr="00A37F20" w:rsidRDefault="007E638E" w:rsidP="007E638E">
      <w:pPr>
        <w:spacing w:line="276" w:lineRule="auto"/>
        <w:rPr>
          <w:rFonts w:eastAsia="Times New Roman" w:cstheme="minorHAnsi"/>
          <w:lang w:eastAsia="de-DE"/>
        </w:rPr>
      </w:pPr>
      <w:r w:rsidRPr="00A37F20">
        <w:rPr>
          <w:rFonts w:eastAsia="Times New Roman" w:cstheme="minorHAnsi"/>
          <w:lang w:eastAsia="de-DE"/>
        </w:rPr>
        <w:t>Die Meldung muss gegenüber uns als Ihrem Netzbetreiber erfolgen, wenn Sie den Strom aus Ihrer Anlage ausschließlich selbst verbrauchen und darüber hinaus etwaigen Überschussstrom an uns liefern oder ein Direktvermarktungsunternehmen eingeschaltet haben. Wenn Sie Strom direkt an einen anderen Letztverbraucher liefern, muss die Meldung gegenüber dem Übertragungsnetzbetreiber (Name, Anschrift) abgegeben werden. Wir dürfen um eine Kopie der Meldung bitten.</w:t>
      </w:r>
    </w:p>
    <w:p w14:paraId="07D01A5D" w14:textId="77777777" w:rsidR="007E638E" w:rsidRPr="00A37F20" w:rsidRDefault="007E638E" w:rsidP="007E638E">
      <w:pPr>
        <w:spacing w:line="276" w:lineRule="auto"/>
        <w:rPr>
          <w:rFonts w:eastAsia="Times New Roman" w:cstheme="minorHAnsi"/>
          <w:lang w:eastAsia="de-DE"/>
        </w:rPr>
      </w:pPr>
    </w:p>
    <w:p w14:paraId="5590072C" w14:textId="77777777" w:rsidR="00E23E9B" w:rsidRPr="00A37F20" w:rsidRDefault="007E638E" w:rsidP="007E638E">
      <w:pPr>
        <w:spacing w:line="276" w:lineRule="auto"/>
        <w:rPr>
          <w:rFonts w:eastAsia="Times New Roman" w:cstheme="minorHAnsi"/>
          <w:lang w:eastAsia="de-DE"/>
        </w:rPr>
      </w:pPr>
      <w:r w:rsidRPr="00A37F20">
        <w:rPr>
          <w:rFonts w:eastAsia="Times New Roman" w:cstheme="minorHAnsi"/>
          <w:lang w:eastAsia="de-DE"/>
        </w:rPr>
        <w:t>Keine Meldepflicht besteht nur, wenn dem Netzbetreiber die erforderlichen Informationen bereits nachweislich vorliegen, z.B. wenn sie im Rahmen der Inbetriebsetzungsmeldung bereits übermittelt wurden.</w:t>
      </w:r>
      <w:r w:rsidR="00495220" w:rsidRPr="00A37F20">
        <w:rPr>
          <w:rFonts w:eastAsia="Times New Roman" w:cstheme="minorHAnsi"/>
          <w:lang w:eastAsia="de-DE"/>
        </w:rPr>
        <w:t xml:space="preserve"> </w:t>
      </w:r>
      <w:r w:rsidRPr="00A37F20">
        <w:rPr>
          <w:rFonts w:eastAsia="Times New Roman" w:cstheme="minorHAnsi"/>
          <w:lang w:eastAsia="de-DE"/>
        </w:rPr>
        <w:t>Keine Meldepflicht gilt, wenn die installierte Leistung der Stromerzeugungsanlage 1 kW nicht überschreitet (bei PV-Anlagen: 7 kW</w:t>
      </w:r>
      <w:r w:rsidR="00182B58" w:rsidRPr="00A37F20">
        <w:rPr>
          <w:rFonts w:eastAsia="Times New Roman" w:cstheme="minorHAnsi"/>
          <w:lang w:eastAsia="de-DE"/>
        </w:rPr>
        <w:t>p</w:t>
      </w:r>
      <w:r w:rsidRPr="00A37F20">
        <w:rPr>
          <w:rFonts w:eastAsia="Times New Roman" w:cstheme="minorHAnsi"/>
          <w:lang w:eastAsia="de-DE"/>
        </w:rPr>
        <w:t xml:space="preserve">). </w:t>
      </w:r>
      <w:r w:rsidR="002E5AC2" w:rsidRPr="00A37F20">
        <w:rPr>
          <w:rFonts w:eastAsia="Times New Roman" w:cstheme="minorHAnsi"/>
          <w:lang w:eastAsia="de-DE"/>
        </w:rPr>
        <w:t xml:space="preserve">Änderungen sind stets unverzüglich mitzuteilen. </w:t>
      </w:r>
    </w:p>
    <w:p w14:paraId="11701554" w14:textId="77777777" w:rsidR="00E23E9B" w:rsidRPr="00A37F20" w:rsidRDefault="00E23E9B" w:rsidP="007E638E">
      <w:pPr>
        <w:spacing w:line="276" w:lineRule="auto"/>
        <w:rPr>
          <w:rFonts w:eastAsia="Times New Roman" w:cstheme="minorHAnsi"/>
          <w:lang w:eastAsia="de-DE"/>
        </w:rPr>
      </w:pPr>
    </w:p>
    <w:p w14:paraId="13EEF20A" w14:textId="0F91D92B" w:rsidR="001E35E9" w:rsidRPr="00A37F20" w:rsidRDefault="007E638E">
      <w:pPr>
        <w:spacing w:line="276" w:lineRule="auto"/>
        <w:jc w:val="both"/>
        <w:rPr>
          <w:rFonts w:eastAsia="Times New Roman" w:cstheme="minorHAnsi"/>
          <w:lang w:eastAsia="de-DE"/>
        </w:rPr>
      </w:pPr>
      <w:r w:rsidRPr="00A37F20">
        <w:rPr>
          <w:rFonts w:eastAsia="Times New Roman" w:cstheme="minorHAnsi"/>
          <w:b/>
          <w:lang w:eastAsia="de-DE"/>
        </w:rPr>
        <w:t>Wenn die Mitteilungspflicht nicht bis zum 28. Februar des Folgejahres</w:t>
      </w:r>
      <w:r w:rsidR="009733CF" w:rsidRPr="00A37F20">
        <w:rPr>
          <w:rFonts w:eastAsia="Times New Roman" w:cstheme="minorHAnsi"/>
          <w:b/>
          <w:lang w:eastAsia="de-DE"/>
        </w:rPr>
        <w:t xml:space="preserve"> </w:t>
      </w:r>
      <w:r w:rsidRPr="00A37F20">
        <w:rPr>
          <w:rFonts w:eastAsia="Times New Roman" w:cstheme="minorHAnsi"/>
          <w:b/>
          <w:lang w:eastAsia="de-DE"/>
        </w:rPr>
        <w:t>erfüllt wird, wird die entfallende oder verringerte EEG-Umlage gesetzlich für das jeweilige Kalenderjahr rückwirkend um 20 Prozentpunkte erhöht</w:t>
      </w:r>
      <w:r w:rsidRPr="00A37F20">
        <w:rPr>
          <w:rFonts w:eastAsia="Times New Roman" w:cstheme="minorHAnsi"/>
          <w:lang w:eastAsia="de-DE"/>
        </w:rPr>
        <w:t xml:space="preserve"> (§ </w:t>
      </w:r>
      <w:r w:rsidR="00C57FDE" w:rsidRPr="00A37F20">
        <w:rPr>
          <w:rFonts w:eastAsia="Times New Roman" w:cstheme="minorHAnsi"/>
          <w:lang w:eastAsia="de-DE"/>
        </w:rPr>
        <w:t xml:space="preserve">61i </w:t>
      </w:r>
      <w:r w:rsidRPr="00A37F20">
        <w:rPr>
          <w:rFonts w:eastAsia="Times New Roman" w:cstheme="minorHAnsi"/>
          <w:lang w:eastAsia="de-DE"/>
        </w:rPr>
        <w:t>Abs. 2 EEG 20</w:t>
      </w:r>
      <w:r w:rsidR="0073327D" w:rsidRPr="00A37F20">
        <w:rPr>
          <w:rFonts w:eastAsia="Times New Roman" w:cstheme="minorHAnsi"/>
          <w:lang w:eastAsia="de-DE"/>
        </w:rPr>
        <w:t>21)</w:t>
      </w:r>
      <w:r w:rsidRPr="00A37F20">
        <w:rPr>
          <w:rFonts w:eastAsia="Times New Roman" w:cstheme="minorHAnsi"/>
          <w:lang w:eastAsia="de-DE"/>
        </w:rPr>
        <w:t>.</w:t>
      </w:r>
      <w:r w:rsidR="009733CF" w:rsidRPr="00A37F20">
        <w:rPr>
          <w:rFonts w:eastAsia="Times New Roman" w:cstheme="minorHAnsi"/>
          <w:lang w:eastAsia="de-DE"/>
        </w:rPr>
        <w:t xml:space="preserve"> </w:t>
      </w:r>
    </w:p>
    <w:p w14:paraId="50C817CA" w14:textId="77777777" w:rsidR="007E638E" w:rsidRPr="00A37F20" w:rsidRDefault="007E638E" w:rsidP="007E638E">
      <w:pPr>
        <w:spacing w:line="276" w:lineRule="auto"/>
        <w:rPr>
          <w:rFonts w:eastAsia="Times New Roman" w:cstheme="minorHAnsi"/>
          <w:lang w:eastAsia="de-DE"/>
        </w:rPr>
      </w:pPr>
    </w:p>
    <w:p w14:paraId="27457607" w14:textId="0937B9BD" w:rsidR="009733CF" w:rsidRPr="00A37F20" w:rsidRDefault="007E638E" w:rsidP="007E638E">
      <w:pPr>
        <w:spacing w:line="276" w:lineRule="auto"/>
        <w:rPr>
          <w:rFonts w:eastAsia="Times New Roman" w:cstheme="minorHAnsi"/>
          <w:lang w:eastAsia="de-DE"/>
        </w:rPr>
      </w:pPr>
      <w:r w:rsidRPr="00A37F20">
        <w:rPr>
          <w:rFonts w:eastAsia="Times New Roman" w:cstheme="minorHAnsi"/>
          <w:lang w:eastAsia="de-DE"/>
        </w:rPr>
        <w:t xml:space="preserve">Die </w:t>
      </w:r>
      <w:r w:rsidRPr="00A37F20">
        <w:rPr>
          <w:rFonts w:eastAsia="Times New Roman" w:cstheme="minorHAnsi"/>
          <w:b/>
          <w:lang w:eastAsia="de-DE"/>
        </w:rPr>
        <w:t>Jahresmeldung</w:t>
      </w:r>
      <w:r w:rsidRPr="00A37F20">
        <w:rPr>
          <w:rFonts w:eastAsia="Times New Roman" w:cstheme="minorHAnsi"/>
          <w:lang w:eastAsia="de-DE"/>
        </w:rPr>
        <w:t xml:space="preserve"> der für die Abrechnung der EEG-Umlage erforderlichen Angaben, insbesondere die Mitteilung der EEG-</w:t>
      </w:r>
      <w:r w:rsidR="003D3C13" w:rsidRPr="00A37F20">
        <w:rPr>
          <w:rFonts w:eastAsia="Times New Roman" w:cstheme="minorHAnsi"/>
          <w:lang w:eastAsia="de-DE"/>
        </w:rPr>
        <w:t xml:space="preserve">umlagepflichtigen Strommengen, </w:t>
      </w:r>
      <w:r w:rsidRPr="00A37F20">
        <w:rPr>
          <w:rFonts w:eastAsia="Times New Roman" w:cstheme="minorHAnsi"/>
          <w:lang w:eastAsia="de-DE"/>
        </w:rPr>
        <w:t xml:space="preserve">muss wie bislang </w:t>
      </w:r>
      <w:r w:rsidRPr="00A37F20">
        <w:rPr>
          <w:rFonts w:eastAsia="Times New Roman" w:cstheme="minorHAnsi"/>
          <w:b/>
          <w:lang w:eastAsia="de-DE"/>
        </w:rPr>
        <w:t>bis zum 28.</w:t>
      </w:r>
      <w:r w:rsidR="00954653" w:rsidRPr="00A37F20">
        <w:rPr>
          <w:rFonts w:eastAsia="Times New Roman" w:cstheme="minorHAnsi"/>
          <w:b/>
          <w:lang w:eastAsia="de-DE"/>
        </w:rPr>
        <w:t> </w:t>
      </w:r>
      <w:r w:rsidRPr="00A37F20">
        <w:rPr>
          <w:rFonts w:eastAsia="Times New Roman" w:cstheme="minorHAnsi"/>
          <w:b/>
          <w:lang w:eastAsia="de-DE"/>
        </w:rPr>
        <w:t>Februar des Folgejahres</w:t>
      </w:r>
      <w:r w:rsidRPr="00A37F20">
        <w:rPr>
          <w:rFonts w:eastAsia="Times New Roman" w:cstheme="minorHAnsi"/>
          <w:lang w:eastAsia="de-DE"/>
        </w:rPr>
        <w:t xml:space="preserve"> erfolgen (§ 74a Abs. 2 EEG 20</w:t>
      </w:r>
      <w:r w:rsidR="0073327D" w:rsidRPr="00A37F20">
        <w:rPr>
          <w:rFonts w:eastAsia="Times New Roman" w:cstheme="minorHAnsi"/>
          <w:lang w:eastAsia="de-DE"/>
        </w:rPr>
        <w:t>21</w:t>
      </w:r>
      <w:r w:rsidRPr="00A37F20">
        <w:rPr>
          <w:rFonts w:eastAsia="Times New Roman" w:cstheme="minorHAnsi"/>
          <w:lang w:eastAsia="de-DE"/>
        </w:rPr>
        <w:t xml:space="preserve">). </w:t>
      </w:r>
      <w:r w:rsidR="00AC72BC" w:rsidRPr="00A37F20">
        <w:rPr>
          <w:rFonts w:eastAsia="Times New Roman" w:cstheme="minorHAnsi"/>
          <w:lang w:eastAsia="de-DE"/>
        </w:rPr>
        <w:t>Erfolgt diese Meldung nicht fristgerecht</w:t>
      </w:r>
      <w:r w:rsidR="005C2C23" w:rsidRPr="00A37F20">
        <w:rPr>
          <w:rFonts w:eastAsia="Times New Roman" w:cstheme="minorHAnsi"/>
          <w:lang w:eastAsia="de-DE"/>
        </w:rPr>
        <w:t>,</w:t>
      </w:r>
      <w:r w:rsidR="00AC72BC" w:rsidRPr="00A37F20">
        <w:rPr>
          <w:rFonts w:eastAsia="Times New Roman" w:cstheme="minorHAnsi"/>
          <w:lang w:eastAsia="de-DE"/>
        </w:rPr>
        <w:t xml:space="preserve"> fällt auf die ggf. umlagereduzierten Strommenge</w:t>
      </w:r>
      <w:r w:rsidR="00C57FDE" w:rsidRPr="00A37F20">
        <w:rPr>
          <w:rFonts w:eastAsia="Times New Roman" w:cstheme="minorHAnsi"/>
          <w:lang w:eastAsia="de-DE"/>
        </w:rPr>
        <w:t>n die volle EEG-Umlage an (§ 61i</w:t>
      </w:r>
      <w:r w:rsidR="00AC72BC" w:rsidRPr="00A37F20">
        <w:rPr>
          <w:rFonts w:eastAsia="Times New Roman" w:cstheme="minorHAnsi"/>
          <w:lang w:eastAsia="de-DE"/>
        </w:rPr>
        <w:t xml:space="preserve"> Abs. 1 EEG 20</w:t>
      </w:r>
      <w:r w:rsidR="0073327D" w:rsidRPr="00A37F20">
        <w:rPr>
          <w:rFonts w:eastAsia="Times New Roman" w:cstheme="minorHAnsi"/>
          <w:lang w:eastAsia="de-DE"/>
        </w:rPr>
        <w:t>21</w:t>
      </w:r>
      <w:r w:rsidR="00AC72BC" w:rsidRPr="00A37F20">
        <w:rPr>
          <w:rFonts w:eastAsia="Times New Roman" w:cstheme="minorHAnsi"/>
          <w:lang w:eastAsia="de-DE"/>
        </w:rPr>
        <w:t>).</w:t>
      </w:r>
    </w:p>
    <w:p w14:paraId="2ECDB59F" w14:textId="77777777" w:rsidR="009733CF" w:rsidRPr="00A37F20" w:rsidRDefault="009733CF" w:rsidP="007E638E">
      <w:pPr>
        <w:spacing w:line="276" w:lineRule="auto"/>
        <w:rPr>
          <w:rFonts w:eastAsia="Times New Roman" w:cstheme="minorHAnsi"/>
          <w:lang w:eastAsia="de-DE"/>
        </w:rPr>
      </w:pPr>
    </w:p>
    <w:p w14:paraId="24BD6EC1" w14:textId="77777777" w:rsidR="001E35E9" w:rsidRPr="00A37F20" w:rsidRDefault="007E638E">
      <w:pPr>
        <w:spacing w:line="276" w:lineRule="auto"/>
        <w:jc w:val="both"/>
        <w:rPr>
          <w:rFonts w:eastAsia="Times New Roman" w:cstheme="minorHAnsi"/>
          <w:lang w:eastAsia="de-DE"/>
        </w:rPr>
      </w:pPr>
      <w:r w:rsidRPr="00A37F20">
        <w:rPr>
          <w:rFonts w:eastAsia="Times New Roman" w:cstheme="minorHAnsi"/>
          <w:lang w:eastAsia="de-DE"/>
        </w:rPr>
        <w:t>Soweit der Übertragungsnetzbetreiber für die Erhebung der EEG-Umlage zuständig ist</w:t>
      </w:r>
      <w:r w:rsidR="000A2F60" w:rsidRPr="00A37F20">
        <w:rPr>
          <w:rFonts w:eastAsia="Times New Roman" w:cstheme="minorHAnsi"/>
          <w:lang w:eastAsia="de-DE"/>
        </w:rPr>
        <w:t>,</w:t>
      </w:r>
      <w:r w:rsidRPr="00A37F20">
        <w:rPr>
          <w:rFonts w:eastAsia="Times New Roman" w:cstheme="minorHAnsi"/>
          <w:lang w:eastAsia="de-DE"/>
        </w:rPr>
        <w:t xml:space="preserve"> z.B. wenn Sie einen anderen Letztverbraucher au</w:t>
      </w:r>
      <w:r w:rsidR="00677B94" w:rsidRPr="00A37F20">
        <w:rPr>
          <w:rFonts w:eastAsia="Times New Roman" w:cstheme="minorHAnsi"/>
          <w:lang w:eastAsia="de-DE"/>
        </w:rPr>
        <w:t>s Ihrer Anlage direkt beliefern</w:t>
      </w:r>
      <w:r w:rsidR="00882F30" w:rsidRPr="00A37F20">
        <w:rPr>
          <w:rFonts w:eastAsia="Times New Roman" w:cstheme="minorHAnsi"/>
          <w:lang w:eastAsia="de-DE"/>
        </w:rPr>
        <w:t>,</w:t>
      </w:r>
      <w:r w:rsidR="00677B94" w:rsidRPr="00A37F20">
        <w:rPr>
          <w:rFonts w:eastAsia="Times New Roman" w:cstheme="minorHAnsi"/>
          <w:lang w:eastAsia="de-DE"/>
        </w:rPr>
        <w:t xml:space="preserve"> </w:t>
      </w:r>
      <w:r w:rsidR="009733CF" w:rsidRPr="00A37F20">
        <w:rPr>
          <w:rFonts w:eastAsia="Times New Roman" w:cstheme="minorHAnsi"/>
          <w:lang w:eastAsia="de-DE"/>
        </w:rPr>
        <w:t xml:space="preserve">müssen </w:t>
      </w:r>
      <w:r w:rsidRPr="00A37F20">
        <w:rPr>
          <w:rFonts w:eastAsia="Times New Roman" w:cstheme="minorHAnsi"/>
          <w:lang w:eastAsia="de-DE"/>
        </w:rPr>
        <w:t>diese Meldung</w:t>
      </w:r>
      <w:r w:rsidR="009733CF" w:rsidRPr="00A37F20">
        <w:rPr>
          <w:rFonts w:eastAsia="Times New Roman" w:cstheme="minorHAnsi"/>
          <w:lang w:eastAsia="de-DE"/>
        </w:rPr>
        <w:t>en</w:t>
      </w:r>
      <w:r w:rsidRPr="00A37F20">
        <w:rPr>
          <w:rFonts w:eastAsia="Times New Roman" w:cstheme="minorHAnsi"/>
          <w:lang w:eastAsia="de-DE"/>
        </w:rPr>
        <w:t xml:space="preserve"> an den Übertragungsnetzbetreibe</w:t>
      </w:r>
      <w:r w:rsidR="009733CF" w:rsidRPr="00A37F20">
        <w:rPr>
          <w:rFonts w:eastAsia="Times New Roman" w:cstheme="minorHAnsi"/>
          <w:lang w:eastAsia="de-DE"/>
        </w:rPr>
        <w:t>r</w:t>
      </w:r>
      <w:r w:rsidRPr="00A37F20">
        <w:rPr>
          <w:rFonts w:eastAsia="Times New Roman" w:cstheme="minorHAnsi"/>
          <w:lang w:eastAsia="de-DE"/>
        </w:rPr>
        <w:t xml:space="preserve"> bis zum </w:t>
      </w:r>
      <w:r w:rsidRPr="00A37F20">
        <w:rPr>
          <w:rFonts w:eastAsia="Times New Roman" w:cstheme="minorHAnsi"/>
          <w:b/>
          <w:lang w:eastAsia="de-DE"/>
        </w:rPr>
        <w:t>31. Mai</w:t>
      </w:r>
      <w:r w:rsidRPr="00A37F20">
        <w:rPr>
          <w:rFonts w:eastAsia="Times New Roman" w:cstheme="minorHAnsi"/>
          <w:lang w:eastAsia="de-DE"/>
        </w:rPr>
        <w:t xml:space="preserve"> </w:t>
      </w:r>
      <w:r w:rsidRPr="00A37F20">
        <w:rPr>
          <w:rFonts w:eastAsia="Times New Roman" w:cstheme="minorHAnsi"/>
          <w:b/>
          <w:lang w:eastAsia="de-DE"/>
        </w:rPr>
        <w:t>des Folgejahres</w:t>
      </w:r>
      <w:r w:rsidRPr="00A37F20">
        <w:rPr>
          <w:rFonts w:eastAsia="Times New Roman" w:cstheme="minorHAnsi"/>
          <w:lang w:eastAsia="de-DE"/>
        </w:rPr>
        <w:t xml:space="preserve"> erfolgen. </w:t>
      </w:r>
    </w:p>
    <w:p w14:paraId="124E9B5D" w14:textId="77777777" w:rsidR="007E638E" w:rsidRPr="00A37F20" w:rsidRDefault="007E638E" w:rsidP="007E638E">
      <w:pPr>
        <w:spacing w:line="276" w:lineRule="auto"/>
        <w:rPr>
          <w:rFonts w:eastAsia="Times New Roman" w:cstheme="minorHAnsi"/>
          <w:lang w:eastAsia="de-DE"/>
        </w:rPr>
      </w:pPr>
    </w:p>
    <w:p w14:paraId="6CAAE991" w14:textId="762FCB06" w:rsidR="00051B17" w:rsidRPr="00A37F20" w:rsidRDefault="00051B17" w:rsidP="007E638E">
      <w:pPr>
        <w:spacing w:line="276" w:lineRule="auto"/>
        <w:rPr>
          <w:rFonts w:eastAsia="Times New Roman" w:cstheme="minorHAnsi"/>
          <w:lang w:eastAsia="de-DE"/>
        </w:rPr>
      </w:pPr>
      <w:r w:rsidRPr="00A37F20">
        <w:rPr>
          <w:rFonts w:eastAsia="Times New Roman" w:cstheme="minorHAnsi"/>
          <w:lang w:eastAsia="de-DE"/>
        </w:rPr>
        <w:t>Für die Abwicklung der EEG-Umlage bei Stromspeichern nach § 61</w:t>
      </w:r>
      <w:r w:rsidR="00751D93" w:rsidRPr="00A37F20">
        <w:rPr>
          <w:rFonts w:eastAsia="Times New Roman" w:cstheme="minorHAnsi"/>
          <w:lang w:eastAsia="de-DE"/>
        </w:rPr>
        <w:t>l</w:t>
      </w:r>
      <w:r w:rsidRPr="00A37F20">
        <w:rPr>
          <w:rFonts w:eastAsia="Times New Roman" w:cstheme="minorHAnsi"/>
          <w:lang w:eastAsia="de-DE"/>
        </w:rPr>
        <w:t xml:space="preserve"> Abs. 1 EEG 20</w:t>
      </w:r>
      <w:r w:rsidR="0073327D" w:rsidRPr="00A37F20">
        <w:rPr>
          <w:rFonts w:eastAsia="Times New Roman" w:cstheme="minorHAnsi"/>
          <w:lang w:eastAsia="de-DE"/>
        </w:rPr>
        <w:t>21</w:t>
      </w:r>
      <w:r w:rsidR="00751D93" w:rsidRPr="00A37F20">
        <w:rPr>
          <w:rFonts w:eastAsia="Times New Roman" w:cstheme="minorHAnsi"/>
          <w:lang w:eastAsia="de-DE"/>
        </w:rPr>
        <w:t xml:space="preserve"> </w:t>
      </w:r>
      <w:r w:rsidRPr="00A37F20">
        <w:rPr>
          <w:rFonts w:eastAsia="Times New Roman" w:cstheme="minorHAnsi"/>
          <w:lang w:eastAsia="de-DE"/>
        </w:rPr>
        <w:t xml:space="preserve">haben die Übertragungsnetzbetreiber ein </w:t>
      </w:r>
      <w:hyperlink r:id="rId12" w:history="1">
        <w:r w:rsidRPr="00A37F20">
          <w:rPr>
            <w:rStyle w:val="Hyperlink"/>
            <w:rFonts w:eastAsia="Times New Roman" w:cstheme="minorHAnsi"/>
            <w:lang w:eastAsia="de-DE"/>
          </w:rPr>
          <w:t>Excel-Tool mit Hinweisen zur Verwendung</w:t>
        </w:r>
      </w:hyperlink>
      <w:r w:rsidRPr="00A37F20">
        <w:rPr>
          <w:rFonts w:eastAsia="Times New Roman" w:cstheme="minorHAnsi"/>
          <w:lang w:eastAsia="de-DE"/>
        </w:rPr>
        <w:t xml:space="preserve"> zur Verfügung gestellt. </w:t>
      </w:r>
    </w:p>
    <w:p w14:paraId="73CF5503" w14:textId="77777777" w:rsidR="007E638E" w:rsidRPr="00A37F20" w:rsidRDefault="007E638E" w:rsidP="007E638E">
      <w:pPr>
        <w:spacing w:line="276" w:lineRule="auto"/>
        <w:rPr>
          <w:rFonts w:eastAsia="Times New Roman" w:cstheme="minorHAnsi"/>
          <w:lang w:eastAsia="de-DE"/>
        </w:rPr>
      </w:pPr>
    </w:p>
    <w:p w14:paraId="73FD3F4F" w14:textId="77777777" w:rsidR="00954653" w:rsidRPr="00A37F20" w:rsidRDefault="00954653" w:rsidP="007E638E">
      <w:pPr>
        <w:spacing w:line="276" w:lineRule="auto"/>
        <w:rPr>
          <w:rFonts w:eastAsia="Times New Roman" w:cstheme="minorHAnsi"/>
          <w:lang w:eastAsia="de-DE"/>
        </w:rPr>
      </w:pPr>
    </w:p>
    <w:p w14:paraId="5572B734" w14:textId="77777777" w:rsidR="007E638E" w:rsidRPr="00A37F20" w:rsidRDefault="00B752D3" w:rsidP="007E638E">
      <w:pPr>
        <w:spacing w:line="276" w:lineRule="auto"/>
        <w:rPr>
          <w:rFonts w:eastAsia="Times New Roman" w:cstheme="minorHAnsi"/>
          <w:b/>
          <w:sz w:val="24"/>
          <w:szCs w:val="24"/>
          <w:lang w:eastAsia="de-DE"/>
        </w:rPr>
      </w:pPr>
      <w:r w:rsidRPr="00A37F20">
        <w:rPr>
          <w:rFonts w:eastAsia="Times New Roman" w:cstheme="minorHAnsi"/>
          <w:b/>
          <w:sz w:val="24"/>
          <w:szCs w:val="24"/>
          <w:lang w:eastAsia="de-DE"/>
        </w:rPr>
        <w:t>Bestandsanlagen</w:t>
      </w:r>
    </w:p>
    <w:p w14:paraId="2CEB2952" w14:textId="77777777" w:rsidR="008F279F" w:rsidRPr="00A37F20" w:rsidRDefault="008F279F" w:rsidP="00B3146B">
      <w:pPr>
        <w:rPr>
          <w:rFonts w:eastAsia="Times New Roman" w:cstheme="minorHAnsi"/>
          <w:lang w:eastAsia="de-DE"/>
        </w:rPr>
      </w:pPr>
    </w:p>
    <w:p w14:paraId="549D0A0D" w14:textId="4A13D3EF" w:rsidR="00E121A7" w:rsidRPr="00A37F20" w:rsidRDefault="006B78DA" w:rsidP="00502682">
      <w:pPr>
        <w:tabs>
          <w:tab w:val="left" w:pos="4520"/>
          <w:tab w:val="left" w:pos="4960"/>
          <w:tab w:val="left" w:pos="7200"/>
          <w:tab w:val="left" w:pos="9320"/>
        </w:tabs>
        <w:spacing w:line="276" w:lineRule="auto"/>
        <w:rPr>
          <w:rFonts w:cstheme="minorHAnsi"/>
        </w:rPr>
      </w:pPr>
      <w:r w:rsidRPr="00A37F20">
        <w:rPr>
          <w:rFonts w:eastAsia="Times New Roman" w:cstheme="minorHAnsi"/>
          <w:b/>
          <w:lang w:eastAsia="de-DE"/>
        </w:rPr>
        <w:lastRenderedPageBreak/>
        <w:t>Bestandsanlagen</w:t>
      </w:r>
      <w:r w:rsidR="00E82541" w:rsidRPr="00A37F20">
        <w:rPr>
          <w:rFonts w:eastAsia="Times New Roman" w:cstheme="minorHAnsi"/>
          <w:lang w:eastAsia="de-DE"/>
        </w:rPr>
        <w:t xml:space="preserve"> im Sinne der </w:t>
      </w:r>
      <w:r w:rsidR="00E82541" w:rsidRPr="00A37F20">
        <w:rPr>
          <w:rFonts w:cstheme="minorHAnsi"/>
        </w:rPr>
        <w:t xml:space="preserve">§§ </w:t>
      </w:r>
      <w:r w:rsidR="00751D93" w:rsidRPr="00A37F20">
        <w:rPr>
          <w:rFonts w:cstheme="minorHAnsi"/>
        </w:rPr>
        <w:t xml:space="preserve">61e </w:t>
      </w:r>
      <w:r w:rsidR="00E82541" w:rsidRPr="00A37F20">
        <w:rPr>
          <w:rFonts w:cstheme="minorHAnsi"/>
        </w:rPr>
        <w:t xml:space="preserve">und </w:t>
      </w:r>
      <w:r w:rsidR="00751D93" w:rsidRPr="00A37F20">
        <w:rPr>
          <w:rFonts w:cstheme="minorHAnsi"/>
        </w:rPr>
        <w:t xml:space="preserve">61f </w:t>
      </w:r>
      <w:r w:rsidR="00E82541" w:rsidRPr="00A37F20">
        <w:rPr>
          <w:rFonts w:cstheme="minorHAnsi"/>
        </w:rPr>
        <w:t>EEG 20</w:t>
      </w:r>
      <w:r w:rsidR="0073327D" w:rsidRPr="00A37F20">
        <w:rPr>
          <w:rFonts w:eastAsia="Times New Roman" w:cstheme="minorHAnsi"/>
          <w:lang w:eastAsia="de-DE"/>
        </w:rPr>
        <w:t>21</w:t>
      </w:r>
      <w:r w:rsidR="00751D93" w:rsidRPr="00A37F20">
        <w:rPr>
          <w:rFonts w:eastAsia="Times New Roman" w:cstheme="minorHAnsi"/>
          <w:lang w:eastAsia="de-DE"/>
        </w:rPr>
        <w:t xml:space="preserve"> </w:t>
      </w:r>
      <w:r w:rsidRPr="00A37F20">
        <w:rPr>
          <w:rFonts w:eastAsia="Times New Roman" w:cstheme="minorHAnsi"/>
          <w:lang w:eastAsia="de-DE"/>
        </w:rPr>
        <w:t>sind zwar grundsätzlich weiterh</w:t>
      </w:r>
      <w:r w:rsidR="00882F30" w:rsidRPr="00A37F20">
        <w:rPr>
          <w:rFonts w:eastAsia="Times New Roman" w:cstheme="minorHAnsi"/>
          <w:lang w:eastAsia="de-DE"/>
        </w:rPr>
        <w:t>in von der EEG-Umlage befreit, d</w:t>
      </w:r>
      <w:r w:rsidRPr="00A37F20">
        <w:rPr>
          <w:rFonts w:eastAsia="Times New Roman" w:cstheme="minorHAnsi"/>
          <w:lang w:eastAsia="de-DE"/>
        </w:rPr>
        <w:t xml:space="preserve">ie Möglichkeit der Erweiterung von Bestandsanlagen um bis zu 30 Prozent der ursprünglich installierten Leistung </w:t>
      </w:r>
      <w:r w:rsidR="00212A80" w:rsidRPr="00A37F20">
        <w:rPr>
          <w:rFonts w:eastAsia="Times New Roman" w:cstheme="minorHAnsi"/>
          <w:lang w:eastAsia="de-DE"/>
        </w:rPr>
        <w:t xml:space="preserve">entfiel </w:t>
      </w:r>
      <w:r w:rsidRPr="00A37F20">
        <w:rPr>
          <w:rFonts w:eastAsia="Times New Roman" w:cstheme="minorHAnsi"/>
          <w:lang w:eastAsia="de-DE"/>
        </w:rPr>
        <w:t xml:space="preserve">jedoch zum 31. Dezember 2017. </w:t>
      </w:r>
    </w:p>
    <w:p w14:paraId="279777B4" w14:textId="77777777" w:rsidR="00E121A7" w:rsidRPr="00A37F20" w:rsidRDefault="00E121A7" w:rsidP="00E121A7">
      <w:pPr>
        <w:tabs>
          <w:tab w:val="left" w:pos="4520"/>
          <w:tab w:val="left" w:pos="4960"/>
          <w:tab w:val="left" w:pos="7200"/>
          <w:tab w:val="left" w:pos="9320"/>
        </w:tabs>
        <w:spacing w:before="33" w:line="226" w:lineRule="exact"/>
        <w:ind w:right="-20"/>
        <w:rPr>
          <w:rFonts w:cstheme="minorHAnsi"/>
        </w:rPr>
      </w:pPr>
    </w:p>
    <w:p w14:paraId="78D80C34" w14:textId="6DAA00F6" w:rsidR="001E35E9" w:rsidRPr="00A37F20" w:rsidRDefault="00E121A7">
      <w:pPr>
        <w:tabs>
          <w:tab w:val="left" w:pos="4520"/>
          <w:tab w:val="left" w:pos="4960"/>
          <w:tab w:val="left" w:pos="7200"/>
          <w:tab w:val="left" w:pos="9320"/>
        </w:tabs>
        <w:spacing w:line="276" w:lineRule="auto"/>
        <w:jc w:val="both"/>
        <w:rPr>
          <w:rFonts w:cstheme="minorHAnsi"/>
        </w:rPr>
      </w:pPr>
      <w:r w:rsidRPr="00A37F20">
        <w:rPr>
          <w:rFonts w:cstheme="minorHAnsi"/>
        </w:rPr>
        <w:t xml:space="preserve">Nach § </w:t>
      </w:r>
      <w:r w:rsidR="00751D93" w:rsidRPr="00A37F20">
        <w:rPr>
          <w:rFonts w:cstheme="minorHAnsi"/>
        </w:rPr>
        <w:t>61g EEG 20</w:t>
      </w:r>
      <w:r w:rsidR="0073327D" w:rsidRPr="00A37F20">
        <w:rPr>
          <w:rFonts w:cstheme="minorHAnsi"/>
        </w:rPr>
        <w:t>21</w:t>
      </w:r>
      <w:r w:rsidR="00751D93" w:rsidRPr="00A37F20">
        <w:rPr>
          <w:rFonts w:cstheme="minorHAnsi"/>
        </w:rPr>
        <w:t xml:space="preserve"> </w:t>
      </w:r>
      <w:r w:rsidRPr="00A37F20">
        <w:rPr>
          <w:rFonts w:cstheme="minorHAnsi"/>
        </w:rPr>
        <w:t xml:space="preserve">führt jede </w:t>
      </w:r>
      <w:r w:rsidR="006600F9" w:rsidRPr="00A37F20">
        <w:rPr>
          <w:rFonts w:cstheme="minorHAnsi"/>
          <w:b/>
        </w:rPr>
        <w:t>Erneuerung oder Ersetzung</w:t>
      </w:r>
      <w:r w:rsidRPr="00A37F20">
        <w:rPr>
          <w:rFonts w:cstheme="minorHAnsi"/>
        </w:rPr>
        <w:t xml:space="preserve"> einer Stromerzeugungsanlage (ohne Erweiterung) ab dem 1. Januar 2018 grundsätzlich zu einer EEG-Umlage von 20</w:t>
      </w:r>
      <w:r w:rsidR="00462097" w:rsidRPr="00A37F20">
        <w:rPr>
          <w:rFonts w:cstheme="minorHAnsi"/>
        </w:rPr>
        <w:t> </w:t>
      </w:r>
      <w:r w:rsidRPr="00A37F20">
        <w:rPr>
          <w:rFonts w:cstheme="minorHAnsi"/>
        </w:rPr>
        <w:t xml:space="preserve">Prozent. Eine Ausnahme hiervon ist vorgesehen für den Fall, dass ein Generator vor Ablauf der handelsrechtlichen Abschreibung oder Auslaufen der Förderung nach dem EEG – z.B. aufgrund eines Defekts – ausgetauscht werden muss oder dass die Stromerzeugung von Kohle auf Gas oder </w:t>
      </w:r>
      <w:r w:rsidR="005C2C23" w:rsidRPr="00A37F20">
        <w:rPr>
          <w:rFonts w:cstheme="minorHAnsi"/>
        </w:rPr>
        <w:t>E</w:t>
      </w:r>
      <w:r w:rsidRPr="00A37F20">
        <w:rPr>
          <w:rFonts w:cstheme="minorHAnsi"/>
        </w:rPr>
        <w:t>rneuerbare Energien umgestellt wird; in diesem Fall bleibt es auch bei Ersetzungen oder Erneuerungen nach dem 31. Dezember 2017 bei null Prozent EEG-Umlage.</w:t>
      </w:r>
      <w:r w:rsidRPr="00A37F20">
        <w:rPr>
          <w:rStyle w:val="Funotenzeichen"/>
          <w:rFonts w:cstheme="minorHAnsi"/>
          <w:sz w:val="22"/>
        </w:rPr>
        <w:footnoteReference w:id="2"/>
      </w:r>
      <w:r w:rsidR="003D3C13" w:rsidRPr="00A37F20">
        <w:rPr>
          <w:rFonts w:cstheme="minorHAnsi"/>
        </w:rPr>
        <w:t xml:space="preserve"> </w:t>
      </w:r>
      <w:r w:rsidRPr="00A37F20">
        <w:rPr>
          <w:rFonts w:cstheme="minorHAnsi"/>
        </w:rPr>
        <w:t xml:space="preserve">Bei </w:t>
      </w:r>
      <w:r w:rsidR="006600F9" w:rsidRPr="00A37F20">
        <w:rPr>
          <w:rFonts w:cstheme="minorHAnsi"/>
          <w:b/>
        </w:rPr>
        <w:t>Erweiterungen</w:t>
      </w:r>
      <w:r w:rsidRPr="00A37F20">
        <w:rPr>
          <w:rFonts w:cstheme="minorHAnsi"/>
        </w:rPr>
        <w:t xml:space="preserve"> ab dem 1. Januar 2018 entfällt der Bestandsschutz für diese Stromerzeugungsanlage vollständig; es ist </w:t>
      </w:r>
      <w:r w:rsidR="00462097" w:rsidRPr="00A37F20">
        <w:rPr>
          <w:rFonts w:cstheme="minorHAnsi"/>
        </w:rPr>
        <w:t xml:space="preserve">die </w:t>
      </w:r>
      <w:r w:rsidRPr="00A37F20">
        <w:rPr>
          <w:rFonts w:cstheme="minorHAnsi"/>
        </w:rPr>
        <w:t>EEG-Umlage wie für eine neue Stromerzeugungsanlage zu</w:t>
      </w:r>
      <w:r w:rsidR="00882F30" w:rsidRPr="00A37F20">
        <w:rPr>
          <w:rFonts w:cstheme="minorHAnsi"/>
        </w:rPr>
        <w:t xml:space="preserve"> zahlen. Soweit Sie an I</w:t>
      </w:r>
      <w:r w:rsidRPr="00A37F20">
        <w:rPr>
          <w:rFonts w:cstheme="minorHAnsi"/>
        </w:rPr>
        <w:t>hrer Stromerzeugungsanlage Erweiterungen, Erneuerungen oder Ersetzungen vornehmen, sind uns diese gem</w:t>
      </w:r>
      <w:r w:rsidR="00462097" w:rsidRPr="00A37F20">
        <w:rPr>
          <w:rFonts w:cstheme="minorHAnsi"/>
        </w:rPr>
        <w:t>.</w:t>
      </w:r>
      <w:r w:rsidRPr="00A37F20">
        <w:rPr>
          <w:rFonts w:cstheme="minorHAnsi"/>
        </w:rPr>
        <w:t xml:space="preserve"> § 74a Abs. 1 EEG 20</w:t>
      </w:r>
      <w:r w:rsidR="0073327D" w:rsidRPr="00A37F20">
        <w:rPr>
          <w:rFonts w:cstheme="minorHAnsi"/>
        </w:rPr>
        <w:t>21</w:t>
      </w:r>
      <w:r w:rsidRPr="00A37F20">
        <w:rPr>
          <w:rFonts w:cstheme="minorHAnsi"/>
        </w:rPr>
        <w:t xml:space="preserve"> unverzüglich mitzuteilen. </w:t>
      </w:r>
    </w:p>
    <w:p w14:paraId="1359229A" w14:textId="77777777" w:rsidR="001010F5" w:rsidRPr="00A37F20" w:rsidRDefault="001010F5" w:rsidP="00502682">
      <w:pPr>
        <w:spacing w:line="276" w:lineRule="auto"/>
        <w:rPr>
          <w:rFonts w:cstheme="minorHAnsi"/>
        </w:rPr>
      </w:pPr>
    </w:p>
    <w:p w14:paraId="5D911D39" w14:textId="6A9249A5" w:rsidR="00B752D3" w:rsidRPr="00A37F20" w:rsidRDefault="00882F30" w:rsidP="00502682">
      <w:pPr>
        <w:spacing w:line="276" w:lineRule="auto"/>
        <w:rPr>
          <w:rFonts w:cstheme="minorHAnsi"/>
        </w:rPr>
      </w:pPr>
      <w:r w:rsidRPr="00A37F20">
        <w:rPr>
          <w:rFonts w:cstheme="minorHAnsi"/>
        </w:rPr>
        <w:t>„</w:t>
      </w:r>
      <w:r w:rsidR="00381E34" w:rsidRPr="00A37F20">
        <w:rPr>
          <w:rFonts w:cstheme="minorHAnsi"/>
        </w:rPr>
        <w:t xml:space="preserve">Erneuert“ bedeutet in diesem Zusammenhang, dass wesentliche Bestandteile des Generators (z.B. Stator oder Rotor) bzw. des jeweiligen </w:t>
      </w:r>
      <w:r w:rsidR="003D3C13" w:rsidRPr="00A37F20">
        <w:rPr>
          <w:rFonts w:cstheme="minorHAnsi"/>
        </w:rPr>
        <w:t xml:space="preserve">PV-Moduls ausgetauscht werden. </w:t>
      </w:r>
      <w:r w:rsidR="00381E34" w:rsidRPr="00A37F20">
        <w:rPr>
          <w:rFonts w:cstheme="minorHAnsi"/>
        </w:rPr>
        <w:t xml:space="preserve">Ein Austausch nur unwesentlicher Teile des Generators oder bloße Reparatur- und Wartungsarbeiten sollen nach der Gesetzesbegründung hingegen nicht ausreichen. „Ersetzt“ wird eine Anlage, wenn der komplette Generator bzw. das PV-Modul ausgetauscht </w:t>
      </w:r>
      <w:r w:rsidR="00462097" w:rsidRPr="00A37F20">
        <w:rPr>
          <w:rFonts w:cstheme="minorHAnsi"/>
        </w:rPr>
        <w:t>wird</w:t>
      </w:r>
      <w:r w:rsidR="00381E34" w:rsidRPr="00A37F20">
        <w:rPr>
          <w:rFonts w:cstheme="minorHAnsi"/>
        </w:rPr>
        <w:t>.</w:t>
      </w:r>
      <w:r w:rsidR="00212A80" w:rsidRPr="00A37F20">
        <w:rPr>
          <w:rFonts w:cstheme="minorHAnsi"/>
        </w:rPr>
        <w:t xml:space="preserve"> „</w:t>
      </w:r>
      <w:r w:rsidR="004C01AE" w:rsidRPr="00A37F20">
        <w:rPr>
          <w:rFonts w:cstheme="minorHAnsi"/>
        </w:rPr>
        <w:t>E</w:t>
      </w:r>
      <w:r w:rsidR="00212A80" w:rsidRPr="00A37F20">
        <w:rPr>
          <w:rFonts w:cstheme="minorHAnsi"/>
        </w:rPr>
        <w:t>rweitert“ wird eine Anlage, wenn die installierte Leistung der Stromerzeugungsanlage erhöht wird.</w:t>
      </w:r>
    </w:p>
    <w:p w14:paraId="231B0527" w14:textId="77777777" w:rsidR="00502682" w:rsidRPr="00A37F20" w:rsidRDefault="00502682" w:rsidP="00502682">
      <w:pPr>
        <w:spacing w:line="276" w:lineRule="auto"/>
        <w:rPr>
          <w:rFonts w:cstheme="minorHAnsi"/>
        </w:rPr>
      </w:pPr>
    </w:p>
    <w:p w14:paraId="5EA15CCB" w14:textId="77777777" w:rsidR="00EB6671" w:rsidRPr="00A37F20" w:rsidRDefault="00EB6671" w:rsidP="003206CC">
      <w:pPr>
        <w:spacing w:line="276" w:lineRule="auto"/>
        <w:rPr>
          <w:rFonts w:eastAsia="Times New Roman" w:cstheme="minorHAnsi"/>
          <w:lang w:eastAsia="de-DE"/>
        </w:rPr>
      </w:pPr>
    </w:p>
    <w:p w14:paraId="6F71B75A" w14:textId="77777777" w:rsidR="00652A98" w:rsidRPr="00A37F20" w:rsidRDefault="00E23E9B" w:rsidP="003206CC">
      <w:pPr>
        <w:spacing w:line="276" w:lineRule="auto"/>
        <w:rPr>
          <w:rFonts w:eastAsia="Times New Roman" w:cstheme="minorHAnsi"/>
          <w:lang w:eastAsia="de-DE"/>
        </w:rPr>
      </w:pPr>
      <w:r w:rsidRPr="00A37F20">
        <w:rPr>
          <w:rFonts w:eastAsia="Times New Roman" w:cstheme="minorHAnsi"/>
          <w:lang w:eastAsia="de-DE"/>
        </w:rPr>
        <w:t>Weitere Informationen finden Sie unter</w:t>
      </w:r>
      <w:r w:rsidR="00882F30" w:rsidRPr="00A37F20">
        <w:rPr>
          <w:rFonts w:eastAsia="Times New Roman" w:cstheme="minorHAnsi"/>
          <w:lang w:eastAsia="de-DE"/>
        </w:rPr>
        <w:t>:</w:t>
      </w:r>
    </w:p>
    <w:p w14:paraId="7893EF34" w14:textId="77777777" w:rsidR="00651867" w:rsidRPr="00A37F20" w:rsidRDefault="009B2731" w:rsidP="003206CC">
      <w:pPr>
        <w:spacing w:line="276" w:lineRule="auto"/>
        <w:rPr>
          <w:rStyle w:val="Hyperlink"/>
          <w:rFonts w:cstheme="minorHAnsi"/>
        </w:rPr>
      </w:pPr>
      <w:hyperlink r:id="rId13" w:history="1">
        <w:r w:rsidR="00621CAC" w:rsidRPr="00A37F20">
          <w:rPr>
            <w:rStyle w:val="Hyperlink"/>
            <w:rFonts w:cstheme="minorHAnsi"/>
          </w:rPr>
          <w:t>https://www.bundesnetzagentur.de/DE/Sachgebiete/ElektrizitaetundGas/Unternehmen_Institutionen/ErneuerbareEnergien/Datenerhebung_EEG/Datenerhebung_EEG-node.html</w:t>
        </w:r>
      </w:hyperlink>
    </w:p>
    <w:p w14:paraId="5E4C934D" w14:textId="77777777" w:rsidR="00621CAC" w:rsidRPr="00A37F20" w:rsidRDefault="00621CAC" w:rsidP="003206CC">
      <w:pPr>
        <w:spacing w:line="276" w:lineRule="auto"/>
        <w:rPr>
          <w:rFonts w:eastAsia="Times New Roman" w:cstheme="minorHAnsi"/>
          <w:lang w:eastAsia="de-DE"/>
        </w:rPr>
      </w:pPr>
    </w:p>
    <w:p w14:paraId="3ABBE317" w14:textId="59D3BA01" w:rsidR="00A02BC1" w:rsidRPr="00A37F20" w:rsidRDefault="00A02BC1" w:rsidP="003206CC">
      <w:pPr>
        <w:spacing w:line="276" w:lineRule="auto"/>
        <w:rPr>
          <w:rFonts w:eastAsia="Times New Roman" w:cstheme="minorHAnsi"/>
          <w:lang w:eastAsia="de-DE"/>
        </w:rPr>
      </w:pPr>
      <w:r w:rsidRPr="00A37F20">
        <w:rPr>
          <w:rFonts w:eastAsia="Times New Roman" w:cstheme="minorHAnsi"/>
          <w:lang w:eastAsia="de-DE"/>
        </w:rPr>
        <w:t xml:space="preserve">Nachlesen können Sie den genauen Wortlaut der </w:t>
      </w:r>
      <w:r w:rsidR="00621CAC" w:rsidRPr="00A37F20">
        <w:rPr>
          <w:rFonts w:eastAsia="Times New Roman" w:cstheme="minorHAnsi"/>
          <w:lang w:eastAsia="de-DE"/>
        </w:rPr>
        <w:t xml:space="preserve">Änderungen </w:t>
      </w:r>
      <w:r w:rsidR="00882F30" w:rsidRPr="00A37F20">
        <w:rPr>
          <w:rFonts w:eastAsia="Times New Roman" w:cstheme="minorHAnsi"/>
          <w:lang w:eastAsia="de-DE"/>
        </w:rPr>
        <w:t xml:space="preserve">des EEG </w:t>
      </w:r>
      <w:r w:rsidR="001E1238">
        <w:rPr>
          <w:rFonts w:eastAsia="Times New Roman" w:cstheme="minorHAnsi"/>
          <w:lang w:eastAsia="de-DE"/>
        </w:rPr>
        <w:t>2021</w:t>
      </w:r>
      <w:r w:rsidR="00882F30" w:rsidRPr="00A37F20">
        <w:rPr>
          <w:rFonts w:eastAsia="Times New Roman" w:cstheme="minorHAnsi"/>
          <w:lang w:eastAsia="de-DE"/>
        </w:rPr>
        <w:t>:</w:t>
      </w:r>
    </w:p>
    <w:p w14:paraId="4850335C" w14:textId="7A45A798" w:rsidR="00F924B3" w:rsidRPr="00A37F20" w:rsidRDefault="0073327D" w:rsidP="00F924B3">
      <w:pPr>
        <w:rPr>
          <w:rFonts w:eastAsia="Times New Roman" w:cstheme="minorHAnsi"/>
          <w:sz w:val="16"/>
          <w:szCs w:val="16"/>
          <w:lang w:eastAsia="de-DE"/>
        </w:rPr>
      </w:pPr>
      <w:r w:rsidRPr="00A37F20">
        <w:rPr>
          <w:rStyle w:val="Hyperlink"/>
          <w:rFonts w:eastAsia="Times New Roman" w:cstheme="minorHAnsi"/>
          <w:lang w:eastAsia="de-DE"/>
        </w:rPr>
        <w:t>https://www.gesetze-im-internet.de/eeg_2014/index.html#BJNR106610014BJNE018302128</w:t>
      </w:r>
    </w:p>
    <w:sectPr w:rsidR="00F924B3" w:rsidRPr="00A37F20" w:rsidSect="006C17D6">
      <w:headerReference w:type="default" r:id="rId14"/>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F2FE0" w14:textId="77777777" w:rsidR="007A2E72" w:rsidRDefault="007A2E72" w:rsidP="00CB5FBC">
      <w:r>
        <w:separator/>
      </w:r>
    </w:p>
  </w:endnote>
  <w:endnote w:type="continuationSeparator" w:id="0">
    <w:p w14:paraId="4B0B4FE8" w14:textId="77777777" w:rsidR="007A2E72" w:rsidRDefault="007A2E72" w:rsidP="00CB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238C3" w14:textId="77777777" w:rsidR="007A2E72" w:rsidRDefault="007A2E72" w:rsidP="00CB5FBC">
      <w:r>
        <w:separator/>
      </w:r>
    </w:p>
  </w:footnote>
  <w:footnote w:type="continuationSeparator" w:id="0">
    <w:p w14:paraId="353084D5" w14:textId="77777777" w:rsidR="007A2E72" w:rsidRDefault="007A2E72" w:rsidP="00CB5FBC">
      <w:r>
        <w:continuationSeparator/>
      </w:r>
    </w:p>
  </w:footnote>
  <w:footnote w:id="1">
    <w:p w14:paraId="75DDC9DA" w14:textId="06E1A50F" w:rsidR="007F5140" w:rsidRDefault="007F5140">
      <w:pPr>
        <w:pStyle w:val="Funotentext"/>
      </w:pPr>
      <w:r>
        <w:rPr>
          <w:rStyle w:val="Funotenzeichen"/>
        </w:rPr>
        <w:footnoteRef/>
      </w:r>
      <w:r>
        <w:t xml:space="preserve"> Also EEG-umlagerechtlichen Bestandsanlagen im Sinne der §§ 61e ff. EEG 2021.</w:t>
      </w:r>
    </w:p>
  </w:footnote>
  <w:footnote w:id="2">
    <w:p w14:paraId="3928E9E5" w14:textId="77777777" w:rsidR="00EC43E8" w:rsidRPr="00A37F20" w:rsidRDefault="00EC43E8" w:rsidP="00E121A7">
      <w:pPr>
        <w:pStyle w:val="Funotentext"/>
        <w:rPr>
          <w:rFonts w:cstheme="minorHAnsi"/>
          <w:sz w:val="18"/>
          <w:szCs w:val="18"/>
        </w:rPr>
      </w:pPr>
      <w:r w:rsidRPr="00A37F20">
        <w:rPr>
          <w:rStyle w:val="Funotenzeichen"/>
          <w:rFonts w:cstheme="minorHAnsi"/>
          <w:sz w:val="18"/>
          <w:szCs w:val="18"/>
        </w:rPr>
        <w:footnoteRef/>
      </w:r>
      <w:r w:rsidRPr="00A37F20">
        <w:rPr>
          <w:rFonts w:cstheme="minorHAnsi"/>
          <w:sz w:val="18"/>
          <w:szCs w:val="18"/>
        </w:rPr>
        <w:t xml:space="preserve"> In diesem Fall legen Sie dem Fragebogen bitte entsprechende Nachweise bei.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F1111" w14:textId="146FEEE9" w:rsidR="00A630CF" w:rsidRDefault="00A630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284E8E9E"/>
    <w:lvl w:ilvl="0">
      <w:start w:val="1"/>
      <w:numFmt w:val="bullet"/>
      <w:pStyle w:val="Aufzhlungszeichen5"/>
      <w:lvlText w:val=""/>
      <w:lvlJc w:val="left"/>
      <w:pPr>
        <w:ind w:left="1492" w:hanging="360"/>
      </w:pPr>
      <w:rPr>
        <w:rFonts w:ascii="Symbol" w:hAnsi="Symbol" w:hint="default"/>
      </w:rPr>
    </w:lvl>
  </w:abstractNum>
  <w:abstractNum w:abstractNumId="1" w15:restartNumberingAfterBreak="0">
    <w:nsid w:val="FFFFFF81"/>
    <w:multiLevelType w:val="singleLevel"/>
    <w:tmpl w:val="049E82F0"/>
    <w:lvl w:ilvl="0">
      <w:start w:val="1"/>
      <w:numFmt w:val="bullet"/>
      <w:pStyle w:val="Aufzhlungszeichen4"/>
      <w:lvlText w:val=""/>
      <w:lvlJc w:val="left"/>
      <w:pPr>
        <w:ind w:left="1209" w:hanging="360"/>
      </w:pPr>
      <w:rPr>
        <w:rFonts w:ascii="Symbol" w:hAnsi="Symbol" w:hint="default"/>
      </w:rPr>
    </w:lvl>
  </w:abstractNum>
  <w:abstractNum w:abstractNumId="2" w15:restartNumberingAfterBreak="0">
    <w:nsid w:val="FFFFFF82"/>
    <w:multiLevelType w:val="singleLevel"/>
    <w:tmpl w:val="1E7CD2D6"/>
    <w:lvl w:ilvl="0">
      <w:start w:val="1"/>
      <w:numFmt w:val="bullet"/>
      <w:pStyle w:val="Aufzhlungszeichen3"/>
      <w:lvlText w:val=""/>
      <w:lvlJc w:val="left"/>
      <w:pPr>
        <w:ind w:left="926" w:hanging="360"/>
      </w:pPr>
      <w:rPr>
        <w:rFonts w:ascii="Symbol" w:hAnsi="Symbol" w:hint="default"/>
      </w:rPr>
    </w:lvl>
  </w:abstractNum>
  <w:abstractNum w:abstractNumId="3" w15:restartNumberingAfterBreak="0">
    <w:nsid w:val="FFFFFF83"/>
    <w:multiLevelType w:val="singleLevel"/>
    <w:tmpl w:val="67B8738C"/>
    <w:lvl w:ilvl="0">
      <w:start w:val="1"/>
      <w:numFmt w:val="bullet"/>
      <w:pStyle w:val="Aufzhlungszeichen2"/>
      <w:lvlText w:val=""/>
      <w:lvlJc w:val="left"/>
      <w:pPr>
        <w:ind w:left="643" w:hanging="360"/>
      </w:pPr>
      <w:rPr>
        <w:rFonts w:ascii="Symbol" w:hAnsi="Symbol" w:hint="default"/>
        <w:spacing w:val="-14"/>
        <w:kern w:val="0"/>
        <w:sz w:val="16"/>
      </w:rPr>
    </w:lvl>
  </w:abstractNum>
  <w:abstractNum w:abstractNumId="4" w15:restartNumberingAfterBreak="0">
    <w:nsid w:val="FFFFFF89"/>
    <w:multiLevelType w:val="singleLevel"/>
    <w:tmpl w:val="98404B60"/>
    <w:lvl w:ilvl="0">
      <w:start w:val="1"/>
      <w:numFmt w:val="bullet"/>
      <w:pStyle w:val="Aufzhlungszeichen"/>
      <w:lvlText w:val=""/>
      <w:lvlJc w:val="left"/>
      <w:pPr>
        <w:ind w:left="360" w:hanging="360"/>
      </w:pPr>
      <w:rPr>
        <w:rFonts w:ascii="Symbol" w:hAnsi="Symbol" w:hint="default"/>
        <w:spacing w:val="-14"/>
        <w:kern w:val="0"/>
        <w:sz w:val="16"/>
      </w:rPr>
    </w:lvl>
  </w:abstractNum>
  <w:abstractNum w:abstractNumId="5" w15:restartNumberingAfterBreak="0">
    <w:nsid w:val="012B093E"/>
    <w:multiLevelType w:val="hybridMultilevel"/>
    <w:tmpl w:val="62826ABA"/>
    <w:lvl w:ilvl="0" w:tplc="8B8CFBF2">
      <w:start w:val="1"/>
      <w:numFmt w:val="bullet"/>
      <w:pStyle w:val="Anstriche"/>
      <w:lvlText w:val=""/>
      <w:lvlJc w:val="left"/>
      <w:pPr>
        <w:ind w:left="284" w:hanging="284"/>
      </w:pPr>
      <w:rPr>
        <w:rFonts w:ascii="Symbol" w:hAnsi="Symbol" w:hint="default"/>
        <w:spacing w:val="-20"/>
        <w:position w:val="0"/>
        <w:sz w:val="16"/>
      </w:rPr>
    </w:lvl>
    <w:lvl w:ilvl="1" w:tplc="8BCA37D6">
      <w:start w:val="1"/>
      <w:numFmt w:val="bullet"/>
      <w:lvlText w:val=""/>
      <w:lvlJc w:val="left"/>
      <w:pPr>
        <w:ind w:left="567" w:hanging="283"/>
      </w:pPr>
      <w:rPr>
        <w:rFonts w:ascii="Symbol" w:hAnsi="Symbol" w:hint="default"/>
        <w:spacing w:val="0"/>
        <w:kern w:val="0"/>
        <w:sz w:val="16"/>
      </w:rPr>
    </w:lvl>
    <w:lvl w:ilvl="2" w:tplc="B1E4E698">
      <w:start w:val="1"/>
      <w:numFmt w:val="bullet"/>
      <w:lvlText w:val=""/>
      <w:lvlJc w:val="left"/>
      <w:pPr>
        <w:ind w:left="851" w:hanging="284"/>
      </w:pPr>
      <w:rPr>
        <w:rFonts w:ascii="Symbol" w:hAnsi="Symbol" w:hint="default"/>
        <w:sz w:val="16"/>
        <w:szCs w:val="16"/>
      </w:rPr>
    </w:lvl>
    <w:lvl w:ilvl="3" w:tplc="BCC0AE88">
      <w:start w:val="1"/>
      <w:numFmt w:val="bullet"/>
      <w:lvlText w:val=""/>
      <w:lvlJc w:val="left"/>
      <w:pPr>
        <w:ind w:left="2880" w:hanging="360"/>
      </w:pPr>
      <w:rPr>
        <w:rFonts w:ascii="Symbol" w:hAnsi="Symbol" w:hint="default"/>
      </w:rPr>
    </w:lvl>
    <w:lvl w:ilvl="4" w:tplc="BCC0AE88">
      <w:start w:val="1"/>
      <w:numFmt w:val="bullet"/>
      <w:lvlText w:val=""/>
      <w:lvlJc w:val="left"/>
      <w:pPr>
        <w:ind w:left="3600" w:hanging="360"/>
      </w:pPr>
      <w:rPr>
        <w:rFonts w:ascii="Symbol" w:hAnsi="Symbol" w:hint="default"/>
      </w:rPr>
    </w:lvl>
    <w:lvl w:ilvl="5" w:tplc="BCC0AE88">
      <w:start w:val="1"/>
      <w:numFmt w:val="bullet"/>
      <w:lvlText w:val=""/>
      <w:lvlJc w:val="left"/>
      <w:pPr>
        <w:ind w:left="4320" w:hanging="360"/>
      </w:pPr>
      <w:rPr>
        <w:rFonts w:ascii="Symbol" w:hAnsi="Symbol" w:hint="default"/>
      </w:rPr>
    </w:lvl>
    <w:lvl w:ilvl="6" w:tplc="BCC0AE88">
      <w:start w:val="1"/>
      <w:numFmt w:val="bullet"/>
      <w:lvlText w:val=""/>
      <w:lvlJc w:val="left"/>
      <w:pPr>
        <w:ind w:left="5040" w:hanging="360"/>
      </w:pPr>
      <w:rPr>
        <w:rFonts w:ascii="Symbol" w:hAnsi="Symbol" w:hint="default"/>
      </w:rPr>
    </w:lvl>
    <w:lvl w:ilvl="7" w:tplc="BCC0AE88">
      <w:start w:val="1"/>
      <w:numFmt w:val="bullet"/>
      <w:lvlText w:val=""/>
      <w:lvlJc w:val="left"/>
      <w:pPr>
        <w:ind w:left="5760" w:hanging="360"/>
      </w:pPr>
      <w:rPr>
        <w:rFonts w:ascii="Symbol" w:hAnsi="Symbol" w:hint="default"/>
      </w:rPr>
    </w:lvl>
    <w:lvl w:ilvl="8" w:tplc="BCC0AE88">
      <w:start w:val="1"/>
      <w:numFmt w:val="bullet"/>
      <w:lvlText w:val=""/>
      <w:lvlJc w:val="left"/>
      <w:pPr>
        <w:ind w:left="6480" w:hanging="360"/>
      </w:pPr>
      <w:rPr>
        <w:rFonts w:ascii="Symbol" w:hAnsi="Symbol" w:hint="default"/>
      </w:rPr>
    </w:lvl>
  </w:abstractNum>
  <w:abstractNum w:abstractNumId="6" w15:restartNumberingAfterBreak="0">
    <w:nsid w:val="05635A95"/>
    <w:multiLevelType w:val="hybridMultilevel"/>
    <w:tmpl w:val="7B980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9244D2F"/>
    <w:multiLevelType w:val="hybridMultilevel"/>
    <w:tmpl w:val="2B6E99EE"/>
    <w:lvl w:ilvl="0" w:tplc="254087A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E7848CE"/>
    <w:multiLevelType w:val="hybridMultilevel"/>
    <w:tmpl w:val="8046A2F6"/>
    <w:lvl w:ilvl="0" w:tplc="576066D6">
      <w:start w:val="1"/>
      <w:numFmt w:val="bullet"/>
      <w:lvlText w:val=""/>
      <w:lvlJc w:val="left"/>
      <w:pPr>
        <w:ind w:left="357" w:hanging="357"/>
      </w:pPr>
      <w:rPr>
        <w:rFonts w:ascii="Symbol" w:hAnsi="Symbol" w:hint="default"/>
        <w:sz w:val="16"/>
        <w:szCs w:val="16"/>
      </w:rPr>
    </w:lvl>
    <w:lvl w:ilvl="1" w:tplc="57862B94">
      <w:start w:val="1"/>
      <w:numFmt w:val="bullet"/>
      <w:lvlText w:val=""/>
      <w:lvlJc w:val="left"/>
      <w:pPr>
        <w:ind w:left="720" w:hanging="363"/>
      </w:pPr>
      <w:rPr>
        <w:rFonts w:ascii="Symbol" w:hAnsi="Symbol" w:hint="default"/>
        <w:sz w:val="16"/>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24224FB"/>
    <w:multiLevelType w:val="hybridMultilevel"/>
    <w:tmpl w:val="F6AEFF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379356A"/>
    <w:multiLevelType w:val="hybridMultilevel"/>
    <w:tmpl w:val="CFE621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40F34A0"/>
    <w:multiLevelType w:val="multilevel"/>
    <w:tmpl w:val="EFAC3802"/>
    <w:styleLink w:val="111111"/>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sz w:val="16"/>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145F37A4"/>
    <w:multiLevelType w:val="hybridMultilevel"/>
    <w:tmpl w:val="694C0E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76F210B"/>
    <w:multiLevelType w:val="hybridMultilevel"/>
    <w:tmpl w:val="0518C160"/>
    <w:lvl w:ilvl="0" w:tplc="B0E85F78">
      <w:start w:val="1"/>
      <w:numFmt w:val="decimal"/>
      <w:lvlText w:val="%1."/>
      <w:lvlJc w:val="left"/>
      <w:pPr>
        <w:ind w:left="284" w:hanging="284"/>
      </w:pPr>
      <w:rPr>
        <w:rFonts w:hint="default"/>
        <w:spacing w:val="-20"/>
        <w:position w:val="0"/>
        <w:sz w:val="22"/>
      </w:rPr>
    </w:lvl>
    <w:lvl w:ilvl="1" w:tplc="8BCA37D6">
      <w:start w:val="1"/>
      <w:numFmt w:val="bullet"/>
      <w:lvlText w:val=""/>
      <w:lvlJc w:val="left"/>
      <w:pPr>
        <w:ind w:left="567" w:hanging="283"/>
      </w:pPr>
      <w:rPr>
        <w:rFonts w:ascii="Symbol" w:hAnsi="Symbol" w:hint="default"/>
        <w:spacing w:val="0"/>
        <w:kern w:val="0"/>
        <w:sz w:val="16"/>
      </w:rPr>
    </w:lvl>
    <w:lvl w:ilvl="2" w:tplc="B1E4E698">
      <w:start w:val="1"/>
      <w:numFmt w:val="bullet"/>
      <w:lvlText w:val=""/>
      <w:lvlJc w:val="left"/>
      <w:pPr>
        <w:ind w:left="851" w:hanging="284"/>
      </w:pPr>
      <w:rPr>
        <w:rFonts w:ascii="Symbol" w:hAnsi="Symbol" w:hint="default"/>
        <w:sz w:val="16"/>
        <w:szCs w:val="16"/>
      </w:rPr>
    </w:lvl>
    <w:lvl w:ilvl="3" w:tplc="BCC0AE88">
      <w:start w:val="1"/>
      <w:numFmt w:val="bullet"/>
      <w:lvlText w:val=""/>
      <w:lvlJc w:val="left"/>
      <w:pPr>
        <w:ind w:left="2880" w:hanging="360"/>
      </w:pPr>
      <w:rPr>
        <w:rFonts w:ascii="Symbol" w:hAnsi="Symbol" w:hint="default"/>
      </w:rPr>
    </w:lvl>
    <w:lvl w:ilvl="4" w:tplc="BCC0AE88">
      <w:start w:val="1"/>
      <w:numFmt w:val="bullet"/>
      <w:lvlText w:val=""/>
      <w:lvlJc w:val="left"/>
      <w:pPr>
        <w:ind w:left="3600" w:hanging="360"/>
      </w:pPr>
      <w:rPr>
        <w:rFonts w:ascii="Symbol" w:hAnsi="Symbol" w:hint="default"/>
      </w:rPr>
    </w:lvl>
    <w:lvl w:ilvl="5" w:tplc="BCC0AE88">
      <w:start w:val="1"/>
      <w:numFmt w:val="bullet"/>
      <w:lvlText w:val=""/>
      <w:lvlJc w:val="left"/>
      <w:pPr>
        <w:ind w:left="4320" w:hanging="360"/>
      </w:pPr>
      <w:rPr>
        <w:rFonts w:ascii="Symbol" w:hAnsi="Symbol" w:hint="default"/>
      </w:rPr>
    </w:lvl>
    <w:lvl w:ilvl="6" w:tplc="BCC0AE88">
      <w:start w:val="1"/>
      <w:numFmt w:val="bullet"/>
      <w:lvlText w:val=""/>
      <w:lvlJc w:val="left"/>
      <w:pPr>
        <w:ind w:left="5040" w:hanging="360"/>
      </w:pPr>
      <w:rPr>
        <w:rFonts w:ascii="Symbol" w:hAnsi="Symbol" w:hint="default"/>
      </w:rPr>
    </w:lvl>
    <w:lvl w:ilvl="7" w:tplc="BCC0AE88">
      <w:start w:val="1"/>
      <w:numFmt w:val="bullet"/>
      <w:lvlText w:val=""/>
      <w:lvlJc w:val="left"/>
      <w:pPr>
        <w:ind w:left="5760" w:hanging="360"/>
      </w:pPr>
      <w:rPr>
        <w:rFonts w:ascii="Symbol" w:hAnsi="Symbol" w:hint="default"/>
      </w:rPr>
    </w:lvl>
    <w:lvl w:ilvl="8" w:tplc="BCC0AE88">
      <w:start w:val="1"/>
      <w:numFmt w:val="bullet"/>
      <w:lvlText w:val=""/>
      <w:lvlJc w:val="left"/>
      <w:pPr>
        <w:ind w:left="6480" w:hanging="360"/>
      </w:pPr>
      <w:rPr>
        <w:rFonts w:ascii="Symbol" w:hAnsi="Symbol" w:hint="default"/>
      </w:rPr>
    </w:lvl>
  </w:abstractNum>
  <w:abstractNum w:abstractNumId="14" w15:restartNumberingAfterBreak="0">
    <w:nsid w:val="20E652A2"/>
    <w:multiLevelType w:val="hybridMultilevel"/>
    <w:tmpl w:val="8F682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27526B0"/>
    <w:multiLevelType w:val="hybridMultilevel"/>
    <w:tmpl w:val="16344B00"/>
    <w:lvl w:ilvl="0" w:tplc="38DE219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8DC388D"/>
    <w:multiLevelType w:val="multilevel"/>
    <w:tmpl w:val="2688A9B0"/>
    <w:styleLink w:val="Formatvorlage1"/>
    <w:lvl w:ilvl="0">
      <w:start w:val="1"/>
      <w:numFmt w:val="bullet"/>
      <w:lvlText w:val=""/>
      <w:lvlJc w:val="left"/>
      <w:pPr>
        <w:ind w:left="1162" w:hanging="453"/>
      </w:pPr>
      <w:rPr>
        <w:rFonts w:ascii="Symbol" w:hAnsi="Symbol" w:hint="default"/>
        <w:color w:val="auto"/>
      </w:rPr>
    </w:lvl>
    <w:lvl w:ilvl="1">
      <w:start w:val="1"/>
      <w:numFmt w:val="bullet"/>
      <w:lvlText w:val=""/>
      <w:lvlJc w:val="left"/>
      <w:pPr>
        <w:ind w:left="1779" w:hanging="361"/>
      </w:pPr>
      <w:rPr>
        <w:rFonts w:ascii="Symbol" w:hAnsi="Symbol" w:hint="default"/>
      </w:rPr>
    </w:lvl>
    <w:lvl w:ilvl="2">
      <w:start w:val="1"/>
      <w:numFmt w:val="bullet"/>
      <w:lvlText w:val=""/>
      <w:lvlJc w:val="left"/>
      <w:pPr>
        <w:ind w:left="2487" w:hanging="360"/>
      </w:pPr>
      <w:rPr>
        <w:rFonts w:ascii="Symbol" w:hAnsi="Symbol" w:hint="default"/>
      </w:rPr>
    </w:lvl>
    <w:lvl w:ilvl="3">
      <w:start w:val="1"/>
      <w:numFmt w:val="decimal"/>
      <w:lvlText w:val="(%4)"/>
      <w:lvlJc w:val="left"/>
      <w:pPr>
        <w:ind w:left="5367" w:hanging="360"/>
      </w:pPr>
      <w:rPr>
        <w:rFonts w:hint="default"/>
      </w:rPr>
    </w:lvl>
    <w:lvl w:ilvl="4">
      <w:start w:val="1"/>
      <w:numFmt w:val="lowerLetter"/>
      <w:lvlText w:val="(%5)"/>
      <w:lvlJc w:val="left"/>
      <w:pPr>
        <w:ind w:left="5727" w:hanging="360"/>
      </w:pPr>
      <w:rPr>
        <w:rFonts w:hint="default"/>
      </w:rPr>
    </w:lvl>
    <w:lvl w:ilvl="5">
      <w:start w:val="1"/>
      <w:numFmt w:val="lowerRoman"/>
      <w:lvlText w:val="(%6)"/>
      <w:lvlJc w:val="left"/>
      <w:pPr>
        <w:ind w:left="6087" w:hanging="360"/>
      </w:pPr>
      <w:rPr>
        <w:rFonts w:hint="default"/>
      </w:rPr>
    </w:lvl>
    <w:lvl w:ilvl="6">
      <w:start w:val="1"/>
      <w:numFmt w:val="decimal"/>
      <w:lvlText w:val="%7."/>
      <w:lvlJc w:val="left"/>
      <w:pPr>
        <w:ind w:left="6447" w:hanging="360"/>
      </w:pPr>
      <w:rPr>
        <w:rFonts w:hint="default"/>
      </w:rPr>
    </w:lvl>
    <w:lvl w:ilvl="7">
      <w:start w:val="1"/>
      <w:numFmt w:val="lowerLetter"/>
      <w:lvlText w:val="%8."/>
      <w:lvlJc w:val="left"/>
      <w:pPr>
        <w:ind w:left="6807" w:hanging="360"/>
      </w:pPr>
      <w:rPr>
        <w:rFonts w:hint="default"/>
      </w:rPr>
    </w:lvl>
    <w:lvl w:ilvl="8">
      <w:start w:val="1"/>
      <w:numFmt w:val="lowerRoman"/>
      <w:lvlText w:val="%9."/>
      <w:lvlJc w:val="left"/>
      <w:pPr>
        <w:ind w:left="7167" w:hanging="360"/>
      </w:pPr>
      <w:rPr>
        <w:rFonts w:hint="default"/>
      </w:rPr>
    </w:lvl>
  </w:abstractNum>
  <w:abstractNum w:abstractNumId="17" w15:restartNumberingAfterBreak="0">
    <w:nsid w:val="290446F2"/>
    <w:multiLevelType w:val="hybridMultilevel"/>
    <w:tmpl w:val="05B2FF94"/>
    <w:lvl w:ilvl="0" w:tplc="576066D6">
      <w:start w:val="1"/>
      <w:numFmt w:val="bullet"/>
      <w:lvlText w:val=""/>
      <w:lvlJc w:val="left"/>
      <w:pPr>
        <w:ind w:left="357" w:hanging="357"/>
      </w:pPr>
      <w:rPr>
        <w:rFonts w:ascii="Symbol" w:hAnsi="Symbol" w:hint="default"/>
        <w:sz w:val="16"/>
        <w:szCs w:val="16"/>
      </w:rPr>
    </w:lvl>
    <w:lvl w:ilvl="1" w:tplc="852672CE">
      <w:start w:val="1"/>
      <w:numFmt w:val="bullet"/>
      <w:lvlText w:val=""/>
      <w:lvlJc w:val="left"/>
      <w:pPr>
        <w:ind w:left="1440" w:hanging="360"/>
      </w:pPr>
      <w:rPr>
        <w:rFonts w:ascii="Symbol" w:hAnsi="Symbol" w:hint="default"/>
        <w:sz w:val="16"/>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97075B7"/>
    <w:multiLevelType w:val="hybridMultilevel"/>
    <w:tmpl w:val="581808D8"/>
    <w:lvl w:ilvl="0" w:tplc="7DAEE010">
      <w:start w:val="1"/>
      <w:numFmt w:val="decimal"/>
      <w:lvlText w:val="%1."/>
      <w:lvlJc w:val="left"/>
      <w:pPr>
        <w:ind w:left="357" w:hanging="35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995559F"/>
    <w:multiLevelType w:val="hybridMultilevel"/>
    <w:tmpl w:val="DA9ACC32"/>
    <w:lvl w:ilvl="0" w:tplc="C8CAAC5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9BA5D36"/>
    <w:multiLevelType w:val="hybridMultilevel"/>
    <w:tmpl w:val="EAD6B71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9BF0978"/>
    <w:multiLevelType w:val="hybridMultilevel"/>
    <w:tmpl w:val="C20E4300"/>
    <w:lvl w:ilvl="0" w:tplc="57862B94">
      <w:start w:val="1"/>
      <w:numFmt w:val="bullet"/>
      <w:lvlText w:val=""/>
      <w:lvlJc w:val="left"/>
      <w:pPr>
        <w:ind w:left="720" w:hanging="363"/>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D047AF7"/>
    <w:multiLevelType w:val="hybridMultilevel"/>
    <w:tmpl w:val="8E32B8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E191579"/>
    <w:multiLevelType w:val="hybridMultilevel"/>
    <w:tmpl w:val="DD42EE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1D84E1D"/>
    <w:multiLevelType w:val="hybridMultilevel"/>
    <w:tmpl w:val="F122459C"/>
    <w:lvl w:ilvl="0" w:tplc="57862B94">
      <w:start w:val="1"/>
      <w:numFmt w:val="bullet"/>
      <w:lvlText w:val=""/>
      <w:lvlJc w:val="left"/>
      <w:pPr>
        <w:ind w:left="720" w:hanging="363"/>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7B23F8B"/>
    <w:multiLevelType w:val="multilevel"/>
    <w:tmpl w:val="7A06CED2"/>
    <w:lvl w:ilvl="0">
      <w:start w:val="1"/>
      <w:numFmt w:val="decimal"/>
      <w:pStyle w:val="Aufzhlung"/>
      <w:lvlText w:val="%1."/>
      <w:lvlJc w:val="left"/>
      <w:pPr>
        <w:ind w:left="284" w:hanging="284"/>
      </w:pPr>
      <w:rPr>
        <w:rFonts w:ascii="Calibri" w:hAnsi="Calibri" w:hint="default"/>
        <w:color w:val="auto"/>
      </w:rPr>
    </w:lvl>
    <w:lvl w:ilvl="1">
      <w:start w:val="1"/>
      <w:numFmt w:val="bullet"/>
      <w:lvlText w:val=""/>
      <w:lvlJc w:val="left"/>
      <w:pPr>
        <w:ind w:left="567" w:hanging="283"/>
      </w:pPr>
      <w:rPr>
        <w:rFonts w:ascii="Symbol" w:hAnsi="Symbol" w:hint="default"/>
        <w:color w:val="auto"/>
        <w:spacing w:val="-20"/>
        <w:position w:val="0"/>
        <w:sz w:val="16"/>
      </w:rPr>
    </w:lvl>
    <w:lvl w:ilvl="2">
      <w:start w:val="1"/>
      <w:numFmt w:val="bullet"/>
      <w:lvlText w:val=""/>
      <w:lvlJc w:val="left"/>
      <w:pPr>
        <w:ind w:left="851" w:hanging="284"/>
      </w:pPr>
      <w:rPr>
        <w:rFonts w:ascii="Symbol" w:hAnsi="Symbol" w:hint="default"/>
        <w:sz w:val="16"/>
        <w:szCs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DC546B5"/>
    <w:multiLevelType w:val="hybridMultilevel"/>
    <w:tmpl w:val="75C0D78A"/>
    <w:lvl w:ilvl="0" w:tplc="49DE19FA">
      <w:start w:val="1"/>
      <w:numFmt w:val="bullet"/>
      <w:lvlText w:val=""/>
      <w:lvlJc w:val="left"/>
      <w:pPr>
        <w:ind w:left="357" w:hanging="357"/>
      </w:pPr>
      <w:rPr>
        <w:rFonts w:ascii="Symbol" w:hAnsi="Symbol" w:hint="default"/>
        <w:spacing w:val="-20"/>
        <w:position w:val="0"/>
        <w:sz w:val="16"/>
      </w:rPr>
    </w:lvl>
    <w:lvl w:ilvl="1" w:tplc="B72A40BC">
      <w:start w:val="1"/>
      <w:numFmt w:val="bullet"/>
      <w:lvlText w:val=""/>
      <w:lvlJc w:val="left"/>
      <w:pPr>
        <w:ind w:left="720" w:hanging="363"/>
      </w:pPr>
      <w:rPr>
        <w:rFonts w:ascii="Symbol" w:hAnsi="Symbol" w:hint="default"/>
        <w:spacing w:val="0"/>
        <w:kern w:val="0"/>
        <w:sz w:val="16"/>
      </w:rPr>
    </w:lvl>
    <w:lvl w:ilvl="2" w:tplc="C2747C14">
      <w:start w:val="1"/>
      <w:numFmt w:val="bullet"/>
      <w:lvlText w:val=""/>
      <w:lvlJc w:val="left"/>
      <w:pPr>
        <w:ind w:left="2160" w:hanging="360"/>
      </w:pPr>
      <w:rPr>
        <w:rFonts w:ascii="Symbol" w:hAnsi="Symbol" w:hint="default"/>
        <w:sz w:val="16"/>
        <w:szCs w:val="16"/>
      </w:rPr>
    </w:lvl>
    <w:lvl w:ilvl="3" w:tplc="BCC0AE88">
      <w:start w:val="1"/>
      <w:numFmt w:val="bullet"/>
      <w:lvlText w:val=""/>
      <w:lvlJc w:val="left"/>
      <w:pPr>
        <w:ind w:left="2880" w:hanging="360"/>
      </w:pPr>
      <w:rPr>
        <w:rFonts w:ascii="Symbol" w:hAnsi="Symbol" w:hint="default"/>
      </w:rPr>
    </w:lvl>
    <w:lvl w:ilvl="4" w:tplc="BCC0AE88">
      <w:start w:val="1"/>
      <w:numFmt w:val="bullet"/>
      <w:lvlText w:val=""/>
      <w:lvlJc w:val="left"/>
      <w:pPr>
        <w:ind w:left="3600" w:hanging="360"/>
      </w:pPr>
      <w:rPr>
        <w:rFonts w:ascii="Symbol" w:hAnsi="Symbol" w:hint="default"/>
      </w:rPr>
    </w:lvl>
    <w:lvl w:ilvl="5" w:tplc="BCC0AE88">
      <w:start w:val="1"/>
      <w:numFmt w:val="bullet"/>
      <w:lvlText w:val=""/>
      <w:lvlJc w:val="left"/>
      <w:pPr>
        <w:ind w:left="4320" w:hanging="360"/>
      </w:pPr>
      <w:rPr>
        <w:rFonts w:ascii="Symbol" w:hAnsi="Symbol" w:hint="default"/>
      </w:rPr>
    </w:lvl>
    <w:lvl w:ilvl="6" w:tplc="BCC0AE88">
      <w:start w:val="1"/>
      <w:numFmt w:val="bullet"/>
      <w:lvlText w:val=""/>
      <w:lvlJc w:val="left"/>
      <w:pPr>
        <w:ind w:left="5040" w:hanging="360"/>
      </w:pPr>
      <w:rPr>
        <w:rFonts w:ascii="Symbol" w:hAnsi="Symbol" w:hint="default"/>
      </w:rPr>
    </w:lvl>
    <w:lvl w:ilvl="7" w:tplc="BCC0AE88">
      <w:start w:val="1"/>
      <w:numFmt w:val="bullet"/>
      <w:lvlText w:val=""/>
      <w:lvlJc w:val="left"/>
      <w:pPr>
        <w:ind w:left="5760" w:hanging="360"/>
      </w:pPr>
      <w:rPr>
        <w:rFonts w:ascii="Symbol" w:hAnsi="Symbol" w:hint="default"/>
      </w:rPr>
    </w:lvl>
    <w:lvl w:ilvl="8" w:tplc="BCC0AE88">
      <w:start w:val="1"/>
      <w:numFmt w:val="bullet"/>
      <w:lvlText w:val=""/>
      <w:lvlJc w:val="left"/>
      <w:pPr>
        <w:ind w:left="6480" w:hanging="360"/>
      </w:pPr>
      <w:rPr>
        <w:rFonts w:ascii="Symbol" w:hAnsi="Symbol" w:hint="default"/>
      </w:rPr>
    </w:lvl>
  </w:abstractNum>
  <w:abstractNum w:abstractNumId="27" w15:restartNumberingAfterBreak="0">
    <w:nsid w:val="509107A6"/>
    <w:multiLevelType w:val="multilevel"/>
    <w:tmpl w:val="363ADEE2"/>
    <w:lvl w:ilvl="0">
      <w:start w:val="1"/>
      <w:numFmt w:val="decimal"/>
      <w:pStyle w:val="Gliederung"/>
      <w:lvlText w:val="%1"/>
      <w:lvlJc w:val="left"/>
      <w:pPr>
        <w:ind w:left="284" w:hanging="284"/>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851" w:hanging="171"/>
      </w:pPr>
      <w:rPr>
        <w:rFonts w:ascii="Calibri" w:hAnsi="Calibri" w:hint="default"/>
        <w:b w:val="0"/>
        <w:i w:val="0"/>
        <w:sz w:val="22"/>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8" w15:restartNumberingAfterBreak="0">
    <w:nsid w:val="5FED63D8"/>
    <w:multiLevelType w:val="hybridMultilevel"/>
    <w:tmpl w:val="645CA966"/>
    <w:lvl w:ilvl="0" w:tplc="57862B94">
      <w:start w:val="1"/>
      <w:numFmt w:val="bullet"/>
      <w:lvlText w:val=""/>
      <w:lvlJc w:val="left"/>
      <w:pPr>
        <w:ind w:left="720" w:hanging="363"/>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A010567"/>
    <w:multiLevelType w:val="hybridMultilevel"/>
    <w:tmpl w:val="01E032EA"/>
    <w:lvl w:ilvl="0" w:tplc="04070001">
      <w:start w:val="1"/>
      <w:numFmt w:val="bullet"/>
      <w:lvlText w:val=""/>
      <w:lvlJc w:val="left"/>
      <w:pPr>
        <w:ind w:left="720" w:hanging="363"/>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EF16E7F"/>
    <w:multiLevelType w:val="hybridMultilevel"/>
    <w:tmpl w:val="8BE678E6"/>
    <w:lvl w:ilvl="0" w:tplc="57862B94">
      <w:start w:val="1"/>
      <w:numFmt w:val="bullet"/>
      <w:lvlText w:val=""/>
      <w:lvlJc w:val="left"/>
      <w:pPr>
        <w:ind w:left="720" w:hanging="363"/>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2087AE8"/>
    <w:multiLevelType w:val="hybridMultilevel"/>
    <w:tmpl w:val="F1944C18"/>
    <w:lvl w:ilvl="0" w:tplc="0407000F">
      <w:start w:val="1"/>
      <w:numFmt w:val="decimal"/>
      <w:lvlText w:val="%1."/>
      <w:lvlJc w:val="left"/>
      <w:pPr>
        <w:ind w:left="720" w:hanging="363"/>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CE8202B"/>
    <w:multiLevelType w:val="multilevel"/>
    <w:tmpl w:val="BFBC00D2"/>
    <w:styleLink w:val="1ai"/>
    <w:lvl w:ilvl="0">
      <w:start w:val="1"/>
      <w:numFmt w:val="decimal"/>
      <w:lvlText w:val="%1."/>
      <w:lvlJc w:val="left"/>
      <w:pPr>
        <w:ind w:left="360" w:hanging="360"/>
      </w:pPr>
      <w:rPr>
        <w:rFonts w:ascii="Times New Roman" w:hAnsi="Times New Roman"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32"/>
  </w:num>
  <w:num w:numId="8">
    <w:abstractNumId w:val="16"/>
  </w:num>
  <w:num w:numId="9">
    <w:abstractNumId w:val="27"/>
  </w:num>
  <w:num w:numId="10">
    <w:abstractNumId w:val="25"/>
  </w:num>
  <w:num w:numId="11">
    <w:abstractNumId w:val="26"/>
  </w:num>
  <w:num w:numId="12">
    <w:abstractNumId w:val="17"/>
  </w:num>
  <w:num w:numId="13">
    <w:abstractNumId w:val="8"/>
  </w:num>
  <w:num w:numId="14">
    <w:abstractNumId w:val="28"/>
  </w:num>
  <w:num w:numId="15">
    <w:abstractNumId w:val="21"/>
  </w:num>
  <w:num w:numId="16">
    <w:abstractNumId w:val="24"/>
  </w:num>
  <w:num w:numId="17">
    <w:abstractNumId w:val="30"/>
  </w:num>
  <w:num w:numId="18">
    <w:abstractNumId w:val="29"/>
  </w:num>
  <w:num w:numId="19">
    <w:abstractNumId w:val="9"/>
  </w:num>
  <w:num w:numId="20">
    <w:abstractNumId w:val="31"/>
  </w:num>
  <w:num w:numId="21">
    <w:abstractNumId w:val="10"/>
  </w:num>
  <w:num w:numId="22">
    <w:abstractNumId w:val="23"/>
  </w:num>
  <w:num w:numId="23">
    <w:abstractNumId w:val="6"/>
  </w:num>
  <w:num w:numId="24">
    <w:abstractNumId w:val="18"/>
  </w:num>
  <w:num w:numId="25">
    <w:abstractNumId w:val="5"/>
  </w:num>
  <w:num w:numId="26">
    <w:abstractNumId w:val="27"/>
    <w:lvlOverride w:ilvl="0">
      <w:lvl w:ilvl="0">
        <w:start w:val="1"/>
        <w:numFmt w:val="decimal"/>
        <w:pStyle w:val="Gliederung"/>
        <w:lvlText w:val="%1."/>
        <w:lvlJc w:val="left"/>
        <w:pPr>
          <w:ind w:left="284" w:hanging="284"/>
        </w:pPr>
        <w:rPr>
          <w:rFonts w:hint="default"/>
        </w:rPr>
      </w:lvl>
    </w:lvlOverride>
    <w:lvlOverride w:ilvl="1">
      <w:lvl w:ilvl="1">
        <w:start w:val="1"/>
        <w:numFmt w:val="decimal"/>
        <w:lvlText w:val="%1.%2"/>
        <w:lvlJc w:val="left"/>
        <w:pPr>
          <w:ind w:left="680" w:hanging="396"/>
        </w:pPr>
        <w:rPr>
          <w:rFonts w:hint="default"/>
        </w:rPr>
      </w:lvl>
    </w:lvlOverride>
    <w:lvlOverride w:ilvl="2">
      <w:lvl w:ilvl="2">
        <w:start w:val="1"/>
        <w:numFmt w:val="decimal"/>
        <w:lvlText w:val="%1.%2.%3."/>
        <w:lvlJc w:val="left"/>
        <w:pPr>
          <w:ind w:left="737" w:hanging="57"/>
        </w:pPr>
        <w:rPr>
          <w:rFonts w:ascii="Calibri" w:hAnsi="Calibri" w:hint="default"/>
          <w:b w:val="0"/>
          <w:i w:val="0"/>
          <w:sz w:val="22"/>
        </w:rPr>
      </w:lvl>
    </w:lvlOverride>
    <w:lvlOverride w:ilvl="3">
      <w:lvl w:ilvl="3">
        <w:start w:val="1"/>
        <w:numFmt w:val="decimal"/>
        <w:lvlText w:val="%1.%2.%3.%4."/>
        <w:lvlJc w:val="left"/>
        <w:pPr>
          <w:ind w:left="2088" w:hanging="648"/>
        </w:pPr>
        <w:rPr>
          <w:rFonts w:hint="default"/>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27">
    <w:abstractNumId w:val="13"/>
  </w:num>
  <w:num w:numId="28">
    <w:abstractNumId w:val="7"/>
  </w:num>
  <w:num w:numId="29">
    <w:abstractNumId w:val="22"/>
  </w:num>
  <w:num w:numId="30">
    <w:abstractNumId w:val="14"/>
  </w:num>
  <w:num w:numId="31">
    <w:abstractNumId w:val="12"/>
  </w:num>
  <w:num w:numId="32">
    <w:abstractNumId w:val="20"/>
  </w:num>
  <w:num w:numId="33">
    <w:abstractNumId w:val="15"/>
  </w:num>
  <w:num w:numId="3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9"/>
  <w:autoHyphenation/>
  <w:hyphenationZone w:val="425"/>
  <w:drawingGridHorizontalSpacing w:val="11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4B3"/>
    <w:rsid w:val="000057CB"/>
    <w:rsid w:val="00005F44"/>
    <w:rsid w:val="00006C5F"/>
    <w:rsid w:val="00011E46"/>
    <w:rsid w:val="000139B6"/>
    <w:rsid w:val="00022205"/>
    <w:rsid w:val="0002415E"/>
    <w:rsid w:val="00033D27"/>
    <w:rsid w:val="00051334"/>
    <w:rsid w:val="00051B17"/>
    <w:rsid w:val="00057016"/>
    <w:rsid w:val="00060755"/>
    <w:rsid w:val="00060AE8"/>
    <w:rsid w:val="00073FA2"/>
    <w:rsid w:val="00074DC1"/>
    <w:rsid w:val="00091672"/>
    <w:rsid w:val="00097DA4"/>
    <w:rsid w:val="000A0311"/>
    <w:rsid w:val="000A2F60"/>
    <w:rsid w:val="000A3E6D"/>
    <w:rsid w:val="000A5E10"/>
    <w:rsid w:val="000A6F92"/>
    <w:rsid w:val="000B1718"/>
    <w:rsid w:val="000B404B"/>
    <w:rsid w:val="000C17DA"/>
    <w:rsid w:val="000C4879"/>
    <w:rsid w:val="000C7964"/>
    <w:rsid w:val="000D34B9"/>
    <w:rsid w:val="000D4EE2"/>
    <w:rsid w:val="000D5AD4"/>
    <w:rsid w:val="000E1502"/>
    <w:rsid w:val="000E2EBB"/>
    <w:rsid w:val="000E5D3B"/>
    <w:rsid w:val="000E6361"/>
    <w:rsid w:val="000E6BCF"/>
    <w:rsid w:val="000E7191"/>
    <w:rsid w:val="000F617E"/>
    <w:rsid w:val="000F79BB"/>
    <w:rsid w:val="00100927"/>
    <w:rsid w:val="001010F5"/>
    <w:rsid w:val="001136A3"/>
    <w:rsid w:val="00116D0D"/>
    <w:rsid w:val="00121CD9"/>
    <w:rsid w:val="001227D6"/>
    <w:rsid w:val="00133AFA"/>
    <w:rsid w:val="00136E0D"/>
    <w:rsid w:val="00140216"/>
    <w:rsid w:val="0014067B"/>
    <w:rsid w:val="0015366B"/>
    <w:rsid w:val="00156E31"/>
    <w:rsid w:val="001617C3"/>
    <w:rsid w:val="00163963"/>
    <w:rsid w:val="001645C9"/>
    <w:rsid w:val="0016478F"/>
    <w:rsid w:val="00167814"/>
    <w:rsid w:val="00174A97"/>
    <w:rsid w:val="001817D1"/>
    <w:rsid w:val="00182B58"/>
    <w:rsid w:val="001862FF"/>
    <w:rsid w:val="00186310"/>
    <w:rsid w:val="0019307E"/>
    <w:rsid w:val="00193664"/>
    <w:rsid w:val="001A28BB"/>
    <w:rsid w:val="001A29CE"/>
    <w:rsid w:val="001A347D"/>
    <w:rsid w:val="001A47BD"/>
    <w:rsid w:val="001A49C0"/>
    <w:rsid w:val="001B1879"/>
    <w:rsid w:val="001B7FD8"/>
    <w:rsid w:val="001D7C22"/>
    <w:rsid w:val="001E1238"/>
    <w:rsid w:val="001E2153"/>
    <w:rsid w:val="001E2322"/>
    <w:rsid w:val="001E351D"/>
    <w:rsid w:val="001E35E9"/>
    <w:rsid w:val="001E47C2"/>
    <w:rsid w:val="001F4327"/>
    <w:rsid w:val="002008B8"/>
    <w:rsid w:val="00205AF6"/>
    <w:rsid w:val="0020787A"/>
    <w:rsid w:val="002121A1"/>
    <w:rsid w:val="00212717"/>
    <w:rsid w:val="00212A80"/>
    <w:rsid w:val="0021399D"/>
    <w:rsid w:val="00213B85"/>
    <w:rsid w:val="00215176"/>
    <w:rsid w:val="00215F26"/>
    <w:rsid w:val="002163E0"/>
    <w:rsid w:val="00216629"/>
    <w:rsid w:val="00220755"/>
    <w:rsid w:val="0024078B"/>
    <w:rsid w:val="002464AC"/>
    <w:rsid w:val="00246E53"/>
    <w:rsid w:val="00247EE5"/>
    <w:rsid w:val="00252E0D"/>
    <w:rsid w:val="0025342E"/>
    <w:rsid w:val="00257BC5"/>
    <w:rsid w:val="0026142B"/>
    <w:rsid w:val="002702B6"/>
    <w:rsid w:val="00283A98"/>
    <w:rsid w:val="002A1DFA"/>
    <w:rsid w:val="002A21BB"/>
    <w:rsid w:val="002A3897"/>
    <w:rsid w:val="002B11BB"/>
    <w:rsid w:val="002B5E37"/>
    <w:rsid w:val="002C1711"/>
    <w:rsid w:val="002C3521"/>
    <w:rsid w:val="002D03E4"/>
    <w:rsid w:val="002E53D5"/>
    <w:rsid w:val="002E5AC2"/>
    <w:rsid w:val="0030239A"/>
    <w:rsid w:val="00303692"/>
    <w:rsid w:val="003043F8"/>
    <w:rsid w:val="003047FA"/>
    <w:rsid w:val="003066B6"/>
    <w:rsid w:val="00314B79"/>
    <w:rsid w:val="003164F6"/>
    <w:rsid w:val="003179E7"/>
    <w:rsid w:val="00320393"/>
    <w:rsid w:val="003206CC"/>
    <w:rsid w:val="0032269C"/>
    <w:rsid w:val="003248AE"/>
    <w:rsid w:val="003252B1"/>
    <w:rsid w:val="003366BC"/>
    <w:rsid w:val="003414D3"/>
    <w:rsid w:val="00346AF5"/>
    <w:rsid w:val="003513B1"/>
    <w:rsid w:val="003538F2"/>
    <w:rsid w:val="003556F5"/>
    <w:rsid w:val="003562E7"/>
    <w:rsid w:val="00360855"/>
    <w:rsid w:val="00364848"/>
    <w:rsid w:val="00377BCB"/>
    <w:rsid w:val="003813E0"/>
    <w:rsid w:val="00381E34"/>
    <w:rsid w:val="00387EC1"/>
    <w:rsid w:val="003906AA"/>
    <w:rsid w:val="003926CD"/>
    <w:rsid w:val="00393880"/>
    <w:rsid w:val="00394E0E"/>
    <w:rsid w:val="00395E6B"/>
    <w:rsid w:val="00396D95"/>
    <w:rsid w:val="003A023C"/>
    <w:rsid w:val="003A60B6"/>
    <w:rsid w:val="003B4720"/>
    <w:rsid w:val="003C58B5"/>
    <w:rsid w:val="003C59F1"/>
    <w:rsid w:val="003D0663"/>
    <w:rsid w:val="003D08BE"/>
    <w:rsid w:val="003D3C13"/>
    <w:rsid w:val="003E7DD4"/>
    <w:rsid w:val="003F5128"/>
    <w:rsid w:val="003F5B98"/>
    <w:rsid w:val="00403513"/>
    <w:rsid w:val="0040751A"/>
    <w:rsid w:val="004078DE"/>
    <w:rsid w:val="00414DA5"/>
    <w:rsid w:val="0041592F"/>
    <w:rsid w:val="0041685B"/>
    <w:rsid w:val="004175CC"/>
    <w:rsid w:val="004255B7"/>
    <w:rsid w:val="00425A57"/>
    <w:rsid w:val="00437FDA"/>
    <w:rsid w:val="00440084"/>
    <w:rsid w:val="00444437"/>
    <w:rsid w:val="00451D3D"/>
    <w:rsid w:val="00461441"/>
    <w:rsid w:val="00462097"/>
    <w:rsid w:val="00473823"/>
    <w:rsid w:val="0048777C"/>
    <w:rsid w:val="00487B03"/>
    <w:rsid w:val="00492199"/>
    <w:rsid w:val="0049388B"/>
    <w:rsid w:val="004944C9"/>
    <w:rsid w:val="0049474D"/>
    <w:rsid w:val="00495220"/>
    <w:rsid w:val="00495D42"/>
    <w:rsid w:val="004A1DB5"/>
    <w:rsid w:val="004A514A"/>
    <w:rsid w:val="004B3F1E"/>
    <w:rsid w:val="004B400A"/>
    <w:rsid w:val="004B5A29"/>
    <w:rsid w:val="004C01AE"/>
    <w:rsid w:val="004C2253"/>
    <w:rsid w:val="004C2411"/>
    <w:rsid w:val="004C36E0"/>
    <w:rsid w:val="004C4285"/>
    <w:rsid w:val="004D763A"/>
    <w:rsid w:val="004E48DC"/>
    <w:rsid w:val="004E5BE9"/>
    <w:rsid w:val="00502682"/>
    <w:rsid w:val="00517A83"/>
    <w:rsid w:val="00521F5E"/>
    <w:rsid w:val="00523022"/>
    <w:rsid w:val="00525DCF"/>
    <w:rsid w:val="00527C3B"/>
    <w:rsid w:val="005302D4"/>
    <w:rsid w:val="005332EE"/>
    <w:rsid w:val="0054126D"/>
    <w:rsid w:val="00545293"/>
    <w:rsid w:val="005474AA"/>
    <w:rsid w:val="005554AF"/>
    <w:rsid w:val="005558E3"/>
    <w:rsid w:val="00562122"/>
    <w:rsid w:val="00570DE1"/>
    <w:rsid w:val="00571624"/>
    <w:rsid w:val="005859EB"/>
    <w:rsid w:val="00590B4B"/>
    <w:rsid w:val="00593606"/>
    <w:rsid w:val="00596B1E"/>
    <w:rsid w:val="005A79AD"/>
    <w:rsid w:val="005B5D5D"/>
    <w:rsid w:val="005B5F71"/>
    <w:rsid w:val="005C1D29"/>
    <w:rsid w:val="005C27D7"/>
    <w:rsid w:val="005C2C23"/>
    <w:rsid w:val="005C38C4"/>
    <w:rsid w:val="005C3E8F"/>
    <w:rsid w:val="005D5560"/>
    <w:rsid w:val="005D636B"/>
    <w:rsid w:val="005D6C15"/>
    <w:rsid w:val="005F405D"/>
    <w:rsid w:val="005F5625"/>
    <w:rsid w:val="005F5714"/>
    <w:rsid w:val="00603657"/>
    <w:rsid w:val="006054E4"/>
    <w:rsid w:val="00606833"/>
    <w:rsid w:val="00621CAC"/>
    <w:rsid w:val="00625062"/>
    <w:rsid w:val="00630D66"/>
    <w:rsid w:val="00631482"/>
    <w:rsid w:val="006345A1"/>
    <w:rsid w:val="00635272"/>
    <w:rsid w:val="006354A2"/>
    <w:rsid w:val="006456D1"/>
    <w:rsid w:val="00651783"/>
    <w:rsid w:val="00651867"/>
    <w:rsid w:val="00652A98"/>
    <w:rsid w:val="006600F9"/>
    <w:rsid w:val="00662172"/>
    <w:rsid w:val="0066444E"/>
    <w:rsid w:val="00664EDC"/>
    <w:rsid w:val="00666AE9"/>
    <w:rsid w:val="00671B41"/>
    <w:rsid w:val="00673E42"/>
    <w:rsid w:val="0067564B"/>
    <w:rsid w:val="00677B94"/>
    <w:rsid w:val="00685BCD"/>
    <w:rsid w:val="006A2548"/>
    <w:rsid w:val="006A577A"/>
    <w:rsid w:val="006B00DD"/>
    <w:rsid w:val="006B479C"/>
    <w:rsid w:val="006B5A18"/>
    <w:rsid w:val="006B78DA"/>
    <w:rsid w:val="006C17D6"/>
    <w:rsid w:val="006D084E"/>
    <w:rsid w:val="006D139B"/>
    <w:rsid w:val="006E2B76"/>
    <w:rsid w:val="006E74BD"/>
    <w:rsid w:val="006F3787"/>
    <w:rsid w:val="006F4139"/>
    <w:rsid w:val="00701F66"/>
    <w:rsid w:val="007056FC"/>
    <w:rsid w:val="0071197D"/>
    <w:rsid w:val="00723C36"/>
    <w:rsid w:val="007255F0"/>
    <w:rsid w:val="007257FC"/>
    <w:rsid w:val="00731991"/>
    <w:rsid w:val="0073327D"/>
    <w:rsid w:val="00742111"/>
    <w:rsid w:val="007469A5"/>
    <w:rsid w:val="00746FEB"/>
    <w:rsid w:val="00747D27"/>
    <w:rsid w:val="00750AC6"/>
    <w:rsid w:val="00751839"/>
    <w:rsid w:val="00751D93"/>
    <w:rsid w:val="00756B06"/>
    <w:rsid w:val="00760C2D"/>
    <w:rsid w:val="00764315"/>
    <w:rsid w:val="00771FCB"/>
    <w:rsid w:val="00773FA3"/>
    <w:rsid w:val="00784AD8"/>
    <w:rsid w:val="00785B7A"/>
    <w:rsid w:val="0078763C"/>
    <w:rsid w:val="00796F45"/>
    <w:rsid w:val="007A1F40"/>
    <w:rsid w:val="007A2E72"/>
    <w:rsid w:val="007B61A1"/>
    <w:rsid w:val="007C39D3"/>
    <w:rsid w:val="007C3C6F"/>
    <w:rsid w:val="007D7BDC"/>
    <w:rsid w:val="007E0C0C"/>
    <w:rsid w:val="007E0C87"/>
    <w:rsid w:val="007E638E"/>
    <w:rsid w:val="007E6401"/>
    <w:rsid w:val="007F06BB"/>
    <w:rsid w:val="007F0CEE"/>
    <w:rsid w:val="007F5140"/>
    <w:rsid w:val="00800558"/>
    <w:rsid w:val="00811760"/>
    <w:rsid w:val="00811ADF"/>
    <w:rsid w:val="00821D24"/>
    <w:rsid w:val="008240D7"/>
    <w:rsid w:val="00824F4E"/>
    <w:rsid w:val="008258FF"/>
    <w:rsid w:val="00833671"/>
    <w:rsid w:val="008340F5"/>
    <w:rsid w:val="00837955"/>
    <w:rsid w:val="008419D8"/>
    <w:rsid w:val="008429EB"/>
    <w:rsid w:val="00845C2C"/>
    <w:rsid w:val="00850440"/>
    <w:rsid w:val="00853ECF"/>
    <w:rsid w:val="00856E42"/>
    <w:rsid w:val="00860695"/>
    <w:rsid w:val="008606AF"/>
    <w:rsid w:val="0086262A"/>
    <w:rsid w:val="00872B0A"/>
    <w:rsid w:val="0087453F"/>
    <w:rsid w:val="0088003A"/>
    <w:rsid w:val="008806E7"/>
    <w:rsid w:val="008814B7"/>
    <w:rsid w:val="00882F30"/>
    <w:rsid w:val="00887AB4"/>
    <w:rsid w:val="008A1D18"/>
    <w:rsid w:val="008A2B4F"/>
    <w:rsid w:val="008B0ED7"/>
    <w:rsid w:val="008B31B1"/>
    <w:rsid w:val="008B41BB"/>
    <w:rsid w:val="008B4AE2"/>
    <w:rsid w:val="008B508C"/>
    <w:rsid w:val="008B54A8"/>
    <w:rsid w:val="008C12F2"/>
    <w:rsid w:val="008C1305"/>
    <w:rsid w:val="008D0079"/>
    <w:rsid w:val="008D5048"/>
    <w:rsid w:val="008D674D"/>
    <w:rsid w:val="008E4A67"/>
    <w:rsid w:val="008F279F"/>
    <w:rsid w:val="008F40D9"/>
    <w:rsid w:val="0090282E"/>
    <w:rsid w:val="009028A8"/>
    <w:rsid w:val="00905FA6"/>
    <w:rsid w:val="00910D06"/>
    <w:rsid w:val="0091409E"/>
    <w:rsid w:val="00921112"/>
    <w:rsid w:val="00921A3F"/>
    <w:rsid w:val="00932C69"/>
    <w:rsid w:val="00934A46"/>
    <w:rsid w:val="00934E3D"/>
    <w:rsid w:val="00944E83"/>
    <w:rsid w:val="009451D5"/>
    <w:rsid w:val="009458CE"/>
    <w:rsid w:val="00945CD9"/>
    <w:rsid w:val="00951230"/>
    <w:rsid w:val="00952D31"/>
    <w:rsid w:val="00953D7A"/>
    <w:rsid w:val="00954653"/>
    <w:rsid w:val="00955D56"/>
    <w:rsid w:val="009650F6"/>
    <w:rsid w:val="009733CF"/>
    <w:rsid w:val="00980A9E"/>
    <w:rsid w:val="0098144D"/>
    <w:rsid w:val="00983F1A"/>
    <w:rsid w:val="0099372E"/>
    <w:rsid w:val="00993B60"/>
    <w:rsid w:val="009952A6"/>
    <w:rsid w:val="009A78F7"/>
    <w:rsid w:val="009B2731"/>
    <w:rsid w:val="009B75AD"/>
    <w:rsid w:val="009B79C4"/>
    <w:rsid w:val="009C385F"/>
    <w:rsid w:val="009C3EFE"/>
    <w:rsid w:val="009D009C"/>
    <w:rsid w:val="009D5B67"/>
    <w:rsid w:val="009E0B32"/>
    <w:rsid w:val="009E35AA"/>
    <w:rsid w:val="009F0DC8"/>
    <w:rsid w:val="00A02BC1"/>
    <w:rsid w:val="00A02E27"/>
    <w:rsid w:val="00A02E35"/>
    <w:rsid w:val="00A14914"/>
    <w:rsid w:val="00A14D45"/>
    <w:rsid w:val="00A14F2C"/>
    <w:rsid w:val="00A24ED9"/>
    <w:rsid w:val="00A30D79"/>
    <w:rsid w:val="00A33256"/>
    <w:rsid w:val="00A334C4"/>
    <w:rsid w:val="00A37F20"/>
    <w:rsid w:val="00A45743"/>
    <w:rsid w:val="00A54C38"/>
    <w:rsid w:val="00A5621D"/>
    <w:rsid w:val="00A57470"/>
    <w:rsid w:val="00A57847"/>
    <w:rsid w:val="00A630CF"/>
    <w:rsid w:val="00A6538A"/>
    <w:rsid w:val="00A70670"/>
    <w:rsid w:val="00A73477"/>
    <w:rsid w:val="00A73D32"/>
    <w:rsid w:val="00A74393"/>
    <w:rsid w:val="00A743D4"/>
    <w:rsid w:val="00A818FC"/>
    <w:rsid w:val="00A84E7B"/>
    <w:rsid w:val="00A8545E"/>
    <w:rsid w:val="00A91CC2"/>
    <w:rsid w:val="00A9485D"/>
    <w:rsid w:val="00A95805"/>
    <w:rsid w:val="00A96655"/>
    <w:rsid w:val="00AB74F1"/>
    <w:rsid w:val="00AC14B5"/>
    <w:rsid w:val="00AC6D85"/>
    <w:rsid w:val="00AC72BC"/>
    <w:rsid w:val="00AD0314"/>
    <w:rsid w:val="00AD4DB3"/>
    <w:rsid w:val="00AE0B61"/>
    <w:rsid w:val="00AE4F7C"/>
    <w:rsid w:val="00AF56F1"/>
    <w:rsid w:val="00AF7A97"/>
    <w:rsid w:val="00B13B92"/>
    <w:rsid w:val="00B14F5F"/>
    <w:rsid w:val="00B15F61"/>
    <w:rsid w:val="00B27A4E"/>
    <w:rsid w:val="00B3146B"/>
    <w:rsid w:val="00B34D23"/>
    <w:rsid w:val="00B40507"/>
    <w:rsid w:val="00B4156C"/>
    <w:rsid w:val="00B4380D"/>
    <w:rsid w:val="00B468BA"/>
    <w:rsid w:val="00B51317"/>
    <w:rsid w:val="00B517F8"/>
    <w:rsid w:val="00B6465A"/>
    <w:rsid w:val="00B65468"/>
    <w:rsid w:val="00B65E0E"/>
    <w:rsid w:val="00B74D5A"/>
    <w:rsid w:val="00B752D3"/>
    <w:rsid w:val="00B81419"/>
    <w:rsid w:val="00B81DEA"/>
    <w:rsid w:val="00B85337"/>
    <w:rsid w:val="00B87773"/>
    <w:rsid w:val="00B9034A"/>
    <w:rsid w:val="00B94170"/>
    <w:rsid w:val="00B973D5"/>
    <w:rsid w:val="00BA7CC9"/>
    <w:rsid w:val="00BB3038"/>
    <w:rsid w:val="00BC4712"/>
    <w:rsid w:val="00BC5A1B"/>
    <w:rsid w:val="00BD32C5"/>
    <w:rsid w:val="00BE4C02"/>
    <w:rsid w:val="00BF312A"/>
    <w:rsid w:val="00BF3606"/>
    <w:rsid w:val="00BF4D92"/>
    <w:rsid w:val="00C0785C"/>
    <w:rsid w:val="00C148EB"/>
    <w:rsid w:val="00C16567"/>
    <w:rsid w:val="00C205BB"/>
    <w:rsid w:val="00C247F0"/>
    <w:rsid w:val="00C4167B"/>
    <w:rsid w:val="00C44995"/>
    <w:rsid w:val="00C46327"/>
    <w:rsid w:val="00C46FCB"/>
    <w:rsid w:val="00C50A0C"/>
    <w:rsid w:val="00C515F5"/>
    <w:rsid w:val="00C56A1E"/>
    <w:rsid w:val="00C57FDE"/>
    <w:rsid w:val="00C67B12"/>
    <w:rsid w:val="00C764CE"/>
    <w:rsid w:val="00C8254F"/>
    <w:rsid w:val="00C85B32"/>
    <w:rsid w:val="00C903E6"/>
    <w:rsid w:val="00C97043"/>
    <w:rsid w:val="00CA08DE"/>
    <w:rsid w:val="00CA3C59"/>
    <w:rsid w:val="00CA5987"/>
    <w:rsid w:val="00CB5FBC"/>
    <w:rsid w:val="00CB60C7"/>
    <w:rsid w:val="00CC236A"/>
    <w:rsid w:val="00CC2DB9"/>
    <w:rsid w:val="00CC4101"/>
    <w:rsid w:val="00CC53E9"/>
    <w:rsid w:val="00CD0968"/>
    <w:rsid w:val="00CD3CF8"/>
    <w:rsid w:val="00CD505C"/>
    <w:rsid w:val="00CD5BCF"/>
    <w:rsid w:val="00CE3A27"/>
    <w:rsid w:val="00CE4780"/>
    <w:rsid w:val="00CE4F28"/>
    <w:rsid w:val="00CE6FDE"/>
    <w:rsid w:val="00CF05D4"/>
    <w:rsid w:val="00CF0F5E"/>
    <w:rsid w:val="00CF305E"/>
    <w:rsid w:val="00CF45FA"/>
    <w:rsid w:val="00CF5B6A"/>
    <w:rsid w:val="00D0139A"/>
    <w:rsid w:val="00D01668"/>
    <w:rsid w:val="00D0399C"/>
    <w:rsid w:val="00D10E57"/>
    <w:rsid w:val="00D1412F"/>
    <w:rsid w:val="00D20230"/>
    <w:rsid w:val="00D31430"/>
    <w:rsid w:val="00D33CCC"/>
    <w:rsid w:val="00D40EA9"/>
    <w:rsid w:val="00D443C8"/>
    <w:rsid w:val="00D4458D"/>
    <w:rsid w:val="00D620EF"/>
    <w:rsid w:val="00D70AA1"/>
    <w:rsid w:val="00D70B4B"/>
    <w:rsid w:val="00D850E1"/>
    <w:rsid w:val="00D93713"/>
    <w:rsid w:val="00DA3A92"/>
    <w:rsid w:val="00DA46A7"/>
    <w:rsid w:val="00DA4E2A"/>
    <w:rsid w:val="00DA72D3"/>
    <w:rsid w:val="00DB6A90"/>
    <w:rsid w:val="00DC0AD4"/>
    <w:rsid w:val="00DC0E67"/>
    <w:rsid w:val="00DC1EA5"/>
    <w:rsid w:val="00DC4B30"/>
    <w:rsid w:val="00DD23DF"/>
    <w:rsid w:val="00DE1719"/>
    <w:rsid w:val="00DE714A"/>
    <w:rsid w:val="00DF032B"/>
    <w:rsid w:val="00DF05B1"/>
    <w:rsid w:val="00E03AED"/>
    <w:rsid w:val="00E0454A"/>
    <w:rsid w:val="00E06383"/>
    <w:rsid w:val="00E121A7"/>
    <w:rsid w:val="00E12A57"/>
    <w:rsid w:val="00E162AB"/>
    <w:rsid w:val="00E23E9B"/>
    <w:rsid w:val="00E24445"/>
    <w:rsid w:val="00E332F7"/>
    <w:rsid w:val="00E348C5"/>
    <w:rsid w:val="00E436E5"/>
    <w:rsid w:val="00E50E49"/>
    <w:rsid w:val="00E61504"/>
    <w:rsid w:val="00E65885"/>
    <w:rsid w:val="00E72901"/>
    <w:rsid w:val="00E759DD"/>
    <w:rsid w:val="00E82541"/>
    <w:rsid w:val="00E82E67"/>
    <w:rsid w:val="00E83097"/>
    <w:rsid w:val="00EA42FE"/>
    <w:rsid w:val="00EA4390"/>
    <w:rsid w:val="00EA509D"/>
    <w:rsid w:val="00EB62D1"/>
    <w:rsid w:val="00EB6671"/>
    <w:rsid w:val="00EB69DE"/>
    <w:rsid w:val="00EC305C"/>
    <w:rsid w:val="00EC43E8"/>
    <w:rsid w:val="00ED1D64"/>
    <w:rsid w:val="00ED3CA1"/>
    <w:rsid w:val="00EE617E"/>
    <w:rsid w:val="00EE6E2F"/>
    <w:rsid w:val="00EF22EE"/>
    <w:rsid w:val="00EF5ADF"/>
    <w:rsid w:val="00F00253"/>
    <w:rsid w:val="00F027C3"/>
    <w:rsid w:val="00F07BE5"/>
    <w:rsid w:val="00F12312"/>
    <w:rsid w:val="00F14701"/>
    <w:rsid w:val="00F2082F"/>
    <w:rsid w:val="00F240DA"/>
    <w:rsid w:val="00F27987"/>
    <w:rsid w:val="00F300C5"/>
    <w:rsid w:val="00F33662"/>
    <w:rsid w:val="00F42261"/>
    <w:rsid w:val="00F50A40"/>
    <w:rsid w:val="00F53D2C"/>
    <w:rsid w:val="00F55D5F"/>
    <w:rsid w:val="00F57536"/>
    <w:rsid w:val="00F61C83"/>
    <w:rsid w:val="00F801B6"/>
    <w:rsid w:val="00F86D79"/>
    <w:rsid w:val="00F924B3"/>
    <w:rsid w:val="00F938D5"/>
    <w:rsid w:val="00F964A0"/>
    <w:rsid w:val="00FA0081"/>
    <w:rsid w:val="00FA3674"/>
    <w:rsid w:val="00FB0786"/>
    <w:rsid w:val="00FB0EB4"/>
    <w:rsid w:val="00FB5FA5"/>
    <w:rsid w:val="00FB79D7"/>
    <w:rsid w:val="00FC3EBE"/>
    <w:rsid w:val="00FC5010"/>
    <w:rsid w:val="00FC5DBA"/>
    <w:rsid w:val="00FD00D3"/>
    <w:rsid w:val="00FD7066"/>
    <w:rsid w:val="00FE14DB"/>
    <w:rsid w:val="00FF5582"/>
    <w:rsid w:val="00FF764E"/>
    <w:rsid w:val="00FF7B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FBA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docDefaults>
  <w:latentStyles w:defLockedState="0" w:defUIPriority="7"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13B92"/>
  </w:style>
  <w:style w:type="paragraph" w:styleId="berschrift1">
    <w:name w:val="heading 1"/>
    <w:basedOn w:val="Standard"/>
    <w:link w:val="berschrift1Zchn"/>
    <w:uiPriority w:val="4"/>
    <w:qFormat/>
    <w:rsid w:val="00785B7A"/>
    <w:pPr>
      <w:keepNext/>
      <w:keepLines/>
      <w:spacing w:before="240" w:after="240"/>
      <w:outlineLvl w:val="0"/>
    </w:pPr>
    <w:rPr>
      <w:rFonts w:eastAsiaTheme="majorEastAsia" w:cstheme="majorBidi"/>
      <w:b/>
      <w:bCs/>
      <w:sz w:val="28"/>
    </w:rPr>
  </w:style>
  <w:style w:type="paragraph" w:styleId="berschrift2">
    <w:name w:val="heading 2"/>
    <w:basedOn w:val="Standard"/>
    <w:link w:val="berschrift2Zchn"/>
    <w:uiPriority w:val="7"/>
    <w:unhideWhenUsed/>
    <w:qFormat/>
    <w:rsid w:val="00B13B92"/>
    <w:pPr>
      <w:keepNext/>
      <w:keepLines/>
      <w:spacing w:before="240"/>
      <w:outlineLvl w:val="1"/>
    </w:pPr>
    <w:rPr>
      <w:rFonts w:eastAsiaTheme="majorEastAsia" w:cstheme="majorBidi"/>
      <w:b/>
      <w:bCs/>
      <w:szCs w:val="26"/>
    </w:rPr>
  </w:style>
  <w:style w:type="paragraph" w:styleId="berschrift3">
    <w:name w:val="heading 3"/>
    <w:basedOn w:val="Standard"/>
    <w:link w:val="berschrift3Zchn"/>
    <w:uiPriority w:val="7"/>
    <w:unhideWhenUsed/>
    <w:rsid w:val="00785B7A"/>
    <w:pPr>
      <w:keepNext/>
      <w:keepLines/>
      <w:spacing w:before="240"/>
      <w:outlineLvl w:val="2"/>
    </w:pPr>
    <w:rPr>
      <w:rFonts w:eastAsiaTheme="majorEastAsia" w:cstheme="majorBidi"/>
      <w:b/>
      <w:bCs/>
    </w:rPr>
  </w:style>
  <w:style w:type="paragraph" w:styleId="berschrift4">
    <w:name w:val="heading 4"/>
    <w:basedOn w:val="Standard"/>
    <w:next w:val="Standard"/>
    <w:link w:val="berschrift4Zchn"/>
    <w:uiPriority w:val="7"/>
    <w:unhideWhenUsed/>
    <w:rsid w:val="00785B7A"/>
    <w:pPr>
      <w:keepNext/>
      <w:keepLines/>
      <w:spacing w:before="240"/>
      <w:outlineLvl w:val="3"/>
    </w:pPr>
    <w:rPr>
      <w:rFonts w:eastAsiaTheme="majorEastAsia" w:cstheme="majorBidi"/>
      <w:b/>
      <w:bCs/>
      <w:iCs/>
    </w:rPr>
  </w:style>
  <w:style w:type="paragraph" w:styleId="berschrift5">
    <w:name w:val="heading 5"/>
    <w:basedOn w:val="Standard"/>
    <w:next w:val="Standard"/>
    <w:link w:val="berschrift5Zchn"/>
    <w:uiPriority w:val="7"/>
    <w:unhideWhenUsed/>
    <w:rsid w:val="00785B7A"/>
    <w:pPr>
      <w:keepNext/>
      <w:keepLines/>
      <w:spacing w:before="240"/>
      <w:outlineLvl w:val="4"/>
    </w:pPr>
    <w:rPr>
      <w:rFonts w:eastAsiaTheme="majorEastAsia" w:cstheme="majorBidi"/>
      <w:b/>
      <w:color w:val="000000" w:themeColor="text1"/>
    </w:rPr>
  </w:style>
  <w:style w:type="paragraph" w:styleId="berschrift6">
    <w:name w:val="heading 6"/>
    <w:basedOn w:val="Standard"/>
    <w:next w:val="Standard"/>
    <w:link w:val="berschrift6Zchn"/>
    <w:uiPriority w:val="7"/>
    <w:unhideWhenUsed/>
    <w:rsid w:val="005C38C4"/>
    <w:pPr>
      <w:keepNext/>
      <w:keepLines/>
      <w:spacing w:before="200"/>
      <w:outlineLvl w:val="5"/>
    </w:pPr>
    <w:rPr>
      <w:rFonts w:asciiTheme="majorHAnsi" w:eastAsiaTheme="majorEastAsia" w:hAnsiTheme="majorHAnsi" w:cstheme="majorBidi"/>
      <w:i/>
      <w:iCs/>
      <w:color w:val="00374E" w:themeColor="accent1" w:themeShade="7F"/>
    </w:rPr>
  </w:style>
  <w:style w:type="paragraph" w:styleId="berschrift7">
    <w:name w:val="heading 7"/>
    <w:basedOn w:val="Standard"/>
    <w:next w:val="Standard"/>
    <w:link w:val="berschrift7Zchn"/>
    <w:uiPriority w:val="7"/>
    <w:unhideWhenUsed/>
    <w:rsid w:val="005C38C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rsid w:val="00785B7A"/>
    <w:rPr>
      <w:rFonts w:eastAsiaTheme="majorEastAsia" w:cstheme="majorBidi"/>
      <w:b/>
      <w:bCs/>
      <w:sz w:val="28"/>
    </w:rPr>
  </w:style>
  <w:style w:type="character" w:customStyle="1" w:styleId="berschrift2Zchn">
    <w:name w:val="Überschrift 2 Zchn"/>
    <w:basedOn w:val="Absatz-Standardschriftart"/>
    <w:link w:val="berschrift2"/>
    <w:uiPriority w:val="7"/>
    <w:rsid w:val="00B13B92"/>
    <w:rPr>
      <w:rFonts w:eastAsiaTheme="majorEastAsia" w:cstheme="majorBidi"/>
      <w:b/>
      <w:bCs/>
      <w:szCs w:val="26"/>
    </w:rPr>
  </w:style>
  <w:style w:type="paragraph" w:styleId="KeinLeerraum">
    <w:name w:val="No Spacing"/>
    <w:uiPriority w:val="7"/>
    <w:rsid w:val="00CB5FBC"/>
  </w:style>
  <w:style w:type="character" w:customStyle="1" w:styleId="berschrift3Zchn">
    <w:name w:val="Überschrift 3 Zchn"/>
    <w:basedOn w:val="Absatz-Standardschriftart"/>
    <w:link w:val="berschrift3"/>
    <w:uiPriority w:val="7"/>
    <w:rsid w:val="00785B7A"/>
    <w:rPr>
      <w:rFonts w:eastAsiaTheme="majorEastAsia" w:cstheme="majorBidi"/>
      <w:b/>
      <w:bCs/>
    </w:rPr>
  </w:style>
  <w:style w:type="paragraph" w:styleId="Funotentext">
    <w:name w:val="footnote text"/>
    <w:basedOn w:val="Standard"/>
    <w:link w:val="FunotentextZchn"/>
    <w:unhideWhenUsed/>
    <w:rsid w:val="0086262A"/>
    <w:rPr>
      <w:sz w:val="16"/>
      <w:szCs w:val="20"/>
    </w:rPr>
  </w:style>
  <w:style w:type="character" w:customStyle="1" w:styleId="FunotentextZchn">
    <w:name w:val="Fußnotentext Zchn"/>
    <w:basedOn w:val="Absatz-Standardschriftart"/>
    <w:link w:val="Funotentext"/>
    <w:rsid w:val="008D0079"/>
    <w:rPr>
      <w:sz w:val="16"/>
      <w:szCs w:val="20"/>
    </w:rPr>
  </w:style>
  <w:style w:type="character" w:styleId="Funotenzeichen">
    <w:name w:val="footnote reference"/>
    <w:basedOn w:val="Absatz-Standardschriftart"/>
    <w:unhideWhenUsed/>
    <w:rsid w:val="00760C2D"/>
    <w:rPr>
      <w:rFonts w:asciiTheme="minorHAnsi" w:hAnsiTheme="minorHAnsi"/>
      <w:sz w:val="16"/>
      <w:vertAlign w:val="superscript"/>
    </w:rPr>
  </w:style>
  <w:style w:type="paragraph" w:styleId="Endnotentext">
    <w:name w:val="endnote text"/>
    <w:basedOn w:val="Standard"/>
    <w:link w:val="EndnotentextZchn"/>
    <w:uiPriority w:val="7"/>
    <w:semiHidden/>
    <w:unhideWhenUsed/>
    <w:rsid w:val="001E351D"/>
    <w:rPr>
      <w:sz w:val="20"/>
      <w:szCs w:val="20"/>
    </w:rPr>
  </w:style>
  <w:style w:type="character" w:customStyle="1" w:styleId="EndnotentextZchn">
    <w:name w:val="Endnotentext Zchn"/>
    <w:basedOn w:val="Absatz-Standardschriftart"/>
    <w:link w:val="Endnotentext"/>
    <w:uiPriority w:val="7"/>
    <w:semiHidden/>
    <w:rsid w:val="008D0079"/>
    <w:rPr>
      <w:sz w:val="20"/>
      <w:szCs w:val="20"/>
    </w:rPr>
  </w:style>
  <w:style w:type="character" w:styleId="Endnotenzeichen">
    <w:name w:val="endnote reference"/>
    <w:basedOn w:val="Absatz-Standardschriftart"/>
    <w:uiPriority w:val="7"/>
    <w:semiHidden/>
    <w:unhideWhenUsed/>
    <w:rsid w:val="001E351D"/>
    <w:rPr>
      <w:vertAlign w:val="superscript"/>
    </w:rPr>
  </w:style>
  <w:style w:type="paragraph" w:styleId="Kopfzeile">
    <w:name w:val="header"/>
    <w:basedOn w:val="Standard"/>
    <w:link w:val="KopfzeileZchn"/>
    <w:uiPriority w:val="7"/>
    <w:unhideWhenUsed/>
    <w:rsid w:val="001E351D"/>
    <w:pPr>
      <w:tabs>
        <w:tab w:val="center" w:pos="4536"/>
        <w:tab w:val="right" w:pos="9072"/>
      </w:tabs>
    </w:pPr>
  </w:style>
  <w:style w:type="character" w:customStyle="1" w:styleId="KopfzeileZchn">
    <w:name w:val="Kopfzeile Zchn"/>
    <w:basedOn w:val="Absatz-Standardschriftart"/>
    <w:link w:val="Kopfzeile"/>
    <w:uiPriority w:val="7"/>
    <w:rsid w:val="008D0079"/>
  </w:style>
  <w:style w:type="paragraph" w:styleId="Fuzeile">
    <w:name w:val="footer"/>
    <w:basedOn w:val="Standard"/>
    <w:link w:val="FuzeileZchn"/>
    <w:uiPriority w:val="7"/>
    <w:unhideWhenUsed/>
    <w:rsid w:val="001E351D"/>
    <w:pPr>
      <w:tabs>
        <w:tab w:val="center" w:pos="4536"/>
        <w:tab w:val="right" w:pos="9072"/>
      </w:tabs>
    </w:pPr>
  </w:style>
  <w:style w:type="character" w:customStyle="1" w:styleId="FuzeileZchn">
    <w:name w:val="Fußzeile Zchn"/>
    <w:basedOn w:val="Absatz-Standardschriftart"/>
    <w:link w:val="Fuzeile"/>
    <w:uiPriority w:val="7"/>
    <w:rsid w:val="008D0079"/>
  </w:style>
  <w:style w:type="paragraph" w:styleId="Fu-Endnotenberschrift">
    <w:name w:val="Note Heading"/>
    <w:basedOn w:val="Standard"/>
    <w:next w:val="Standard"/>
    <w:link w:val="Fu-EndnotenberschriftZchn"/>
    <w:uiPriority w:val="7"/>
    <w:semiHidden/>
    <w:unhideWhenUsed/>
    <w:rsid w:val="0086262A"/>
    <w:rPr>
      <w:sz w:val="16"/>
    </w:rPr>
  </w:style>
  <w:style w:type="character" w:customStyle="1" w:styleId="Fu-EndnotenberschriftZchn">
    <w:name w:val="Fuß/-Endnotenüberschrift Zchn"/>
    <w:basedOn w:val="Absatz-Standardschriftart"/>
    <w:link w:val="Fu-Endnotenberschrift"/>
    <w:uiPriority w:val="7"/>
    <w:semiHidden/>
    <w:rsid w:val="008D0079"/>
    <w:rPr>
      <w:sz w:val="16"/>
    </w:rPr>
  </w:style>
  <w:style w:type="character" w:styleId="Hervorhebung">
    <w:name w:val="Emphasis"/>
    <w:basedOn w:val="Absatz-Standardschriftart"/>
    <w:uiPriority w:val="7"/>
    <w:rsid w:val="00934E3D"/>
    <w:rPr>
      <w:rFonts w:asciiTheme="minorHAnsi" w:hAnsiTheme="minorHAnsi"/>
      <w:i w:val="0"/>
      <w:iCs/>
      <w:sz w:val="22"/>
    </w:rPr>
  </w:style>
  <w:style w:type="paragraph" w:styleId="Listenabsatz">
    <w:name w:val="List Paragraph"/>
    <w:basedOn w:val="Standard"/>
    <w:link w:val="ListenabsatzZchn"/>
    <w:uiPriority w:val="34"/>
    <w:qFormat/>
    <w:rsid w:val="00C46327"/>
    <w:pPr>
      <w:ind w:left="397"/>
    </w:pPr>
  </w:style>
  <w:style w:type="numbering" w:styleId="111111">
    <w:name w:val="Outline List 2"/>
    <w:basedOn w:val="KeineListe"/>
    <w:uiPriority w:val="99"/>
    <w:semiHidden/>
    <w:unhideWhenUsed/>
    <w:rsid w:val="00FC5010"/>
    <w:pPr>
      <w:numPr>
        <w:numId w:val="6"/>
      </w:numPr>
    </w:pPr>
  </w:style>
  <w:style w:type="numbering" w:styleId="1ai">
    <w:name w:val="Outline List 1"/>
    <w:basedOn w:val="KeineListe"/>
    <w:uiPriority w:val="99"/>
    <w:semiHidden/>
    <w:unhideWhenUsed/>
    <w:rsid w:val="00FC5010"/>
    <w:pPr>
      <w:numPr>
        <w:numId w:val="7"/>
      </w:numPr>
    </w:pPr>
  </w:style>
  <w:style w:type="paragraph" w:styleId="Aufzhlungszeichen">
    <w:name w:val="List Bullet"/>
    <w:basedOn w:val="Standard"/>
    <w:uiPriority w:val="7"/>
    <w:semiHidden/>
    <w:unhideWhenUsed/>
    <w:rsid w:val="00C46327"/>
    <w:pPr>
      <w:numPr>
        <w:numId w:val="1"/>
      </w:numPr>
    </w:pPr>
  </w:style>
  <w:style w:type="paragraph" w:styleId="Aufzhlungszeichen2">
    <w:name w:val="List Bullet 2"/>
    <w:basedOn w:val="Standard"/>
    <w:uiPriority w:val="7"/>
    <w:semiHidden/>
    <w:unhideWhenUsed/>
    <w:rsid w:val="006345A1"/>
    <w:pPr>
      <w:numPr>
        <w:numId w:val="2"/>
      </w:numPr>
      <w:ind w:left="754" w:hanging="357"/>
    </w:pPr>
  </w:style>
  <w:style w:type="paragraph" w:styleId="Aufzhlungszeichen3">
    <w:name w:val="List Bullet 3"/>
    <w:basedOn w:val="Standard"/>
    <w:uiPriority w:val="7"/>
    <w:semiHidden/>
    <w:unhideWhenUsed/>
    <w:rsid w:val="003B4720"/>
    <w:pPr>
      <w:numPr>
        <w:numId w:val="3"/>
      </w:numPr>
      <w:tabs>
        <w:tab w:val="num" w:pos="360"/>
      </w:tabs>
      <w:ind w:left="0" w:firstLine="0"/>
    </w:pPr>
    <w:rPr>
      <w:sz w:val="16"/>
    </w:rPr>
  </w:style>
  <w:style w:type="paragraph" w:styleId="Liste">
    <w:name w:val="List"/>
    <w:basedOn w:val="Standard"/>
    <w:uiPriority w:val="7"/>
    <w:semiHidden/>
    <w:unhideWhenUsed/>
    <w:rsid w:val="003B4720"/>
    <w:pPr>
      <w:ind w:left="283" w:hanging="283"/>
    </w:pPr>
  </w:style>
  <w:style w:type="numbering" w:customStyle="1" w:styleId="Formatvorlage1">
    <w:name w:val="Formatvorlage1"/>
    <w:uiPriority w:val="99"/>
    <w:rsid w:val="00746FEB"/>
    <w:pPr>
      <w:numPr>
        <w:numId w:val="8"/>
      </w:numPr>
    </w:pPr>
  </w:style>
  <w:style w:type="paragraph" w:styleId="Aufzhlungszeichen4">
    <w:name w:val="List Bullet 4"/>
    <w:basedOn w:val="Standard"/>
    <w:uiPriority w:val="7"/>
    <w:semiHidden/>
    <w:unhideWhenUsed/>
    <w:rsid w:val="003B4720"/>
    <w:pPr>
      <w:numPr>
        <w:numId w:val="4"/>
      </w:numPr>
    </w:pPr>
    <w:rPr>
      <w:sz w:val="16"/>
    </w:rPr>
  </w:style>
  <w:style w:type="paragraph" w:styleId="Aufzhlungszeichen5">
    <w:name w:val="List Bullet 5"/>
    <w:basedOn w:val="Standard"/>
    <w:uiPriority w:val="7"/>
    <w:semiHidden/>
    <w:unhideWhenUsed/>
    <w:rsid w:val="003B4720"/>
    <w:pPr>
      <w:numPr>
        <w:numId w:val="5"/>
      </w:numPr>
    </w:pPr>
    <w:rPr>
      <w:sz w:val="16"/>
    </w:rPr>
  </w:style>
  <w:style w:type="paragraph" w:styleId="StandardWeb">
    <w:name w:val="Normal (Web)"/>
    <w:basedOn w:val="Standard"/>
    <w:uiPriority w:val="7"/>
    <w:semiHidden/>
    <w:unhideWhenUsed/>
    <w:rsid w:val="00100927"/>
    <w:pPr>
      <w:spacing w:before="100" w:beforeAutospacing="1" w:after="100" w:afterAutospacing="1"/>
    </w:pPr>
    <w:rPr>
      <w:rFonts w:ascii="Times New Roman" w:eastAsia="Times New Roman" w:hAnsi="Times New Roman" w:cs="Times New Roman"/>
      <w:sz w:val="24"/>
      <w:szCs w:val="24"/>
      <w:lang w:eastAsia="de-DE"/>
    </w:rPr>
  </w:style>
  <w:style w:type="character" w:styleId="Hyperlink">
    <w:name w:val="Hyperlink"/>
    <w:basedOn w:val="Absatz-Standardschriftart"/>
    <w:uiPriority w:val="7"/>
    <w:unhideWhenUsed/>
    <w:rsid w:val="00100927"/>
    <w:rPr>
      <w:color w:val="0000FF"/>
      <w:u w:val="single"/>
    </w:rPr>
  </w:style>
  <w:style w:type="paragraph" w:styleId="Liste2">
    <w:name w:val="List 2"/>
    <w:basedOn w:val="Standard"/>
    <w:uiPriority w:val="7"/>
    <w:unhideWhenUsed/>
    <w:rsid w:val="00BC4712"/>
  </w:style>
  <w:style w:type="paragraph" w:customStyle="1" w:styleId="Anstriche">
    <w:name w:val="Anstriche"/>
    <w:basedOn w:val="Listenabsatz"/>
    <w:link w:val="AnstricheZchn"/>
    <w:uiPriority w:val="1"/>
    <w:qFormat/>
    <w:rsid w:val="006A2548"/>
    <w:pPr>
      <w:numPr>
        <w:numId w:val="25"/>
      </w:numPr>
      <w:contextualSpacing/>
    </w:pPr>
  </w:style>
  <w:style w:type="paragraph" w:customStyle="1" w:styleId="Gliederung">
    <w:name w:val="Gliederung"/>
    <w:basedOn w:val="Listenabsatz"/>
    <w:link w:val="GliederungZchn"/>
    <w:uiPriority w:val="3"/>
    <w:qFormat/>
    <w:rsid w:val="006A2548"/>
    <w:pPr>
      <w:numPr>
        <w:numId w:val="9"/>
      </w:numPr>
      <w:contextualSpacing/>
    </w:pPr>
  </w:style>
  <w:style w:type="character" w:customStyle="1" w:styleId="ListenabsatzZchn">
    <w:name w:val="Listenabsatz Zchn"/>
    <w:basedOn w:val="Absatz-Standardschriftart"/>
    <w:link w:val="Listenabsatz"/>
    <w:uiPriority w:val="7"/>
    <w:rsid w:val="008D0079"/>
  </w:style>
  <w:style w:type="character" w:customStyle="1" w:styleId="AnstricheZchn">
    <w:name w:val="Anstriche Zchn"/>
    <w:basedOn w:val="ListenabsatzZchn"/>
    <w:link w:val="Anstriche"/>
    <w:uiPriority w:val="1"/>
    <w:rsid w:val="006A2548"/>
  </w:style>
  <w:style w:type="character" w:customStyle="1" w:styleId="GliederungZchn">
    <w:name w:val="Gliederung Zchn"/>
    <w:basedOn w:val="ListenabsatzZchn"/>
    <w:link w:val="Gliederung"/>
    <w:uiPriority w:val="3"/>
    <w:rsid w:val="006A2548"/>
  </w:style>
  <w:style w:type="paragraph" w:customStyle="1" w:styleId="Aufzhlung">
    <w:name w:val="Aufzählung"/>
    <w:basedOn w:val="Listenabsatz"/>
    <w:link w:val="AufzhlungZchn"/>
    <w:uiPriority w:val="2"/>
    <w:qFormat/>
    <w:rsid w:val="006A2548"/>
    <w:pPr>
      <w:numPr>
        <w:numId w:val="10"/>
      </w:numPr>
      <w:contextualSpacing/>
    </w:pPr>
  </w:style>
  <w:style w:type="character" w:customStyle="1" w:styleId="AufzhlungZchn">
    <w:name w:val="Aufzählung Zchn"/>
    <w:basedOn w:val="ListenabsatzZchn"/>
    <w:link w:val="Aufzhlung"/>
    <w:uiPriority w:val="2"/>
    <w:rsid w:val="006A2548"/>
  </w:style>
  <w:style w:type="paragraph" w:styleId="Titel">
    <w:name w:val="Title"/>
    <w:basedOn w:val="Standard"/>
    <w:next w:val="Standard"/>
    <w:link w:val="TitelZchn"/>
    <w:uiPriority w:val="7"/>
    <w:rsid w:val="0066444E"/>
    <w:pPr>
      <w:pBdr>
        <w:bottom w:val="single" w:sz="8" w:space="4" w:color="006F9D" w:themeColor="accent1"/>
      </w:pBdr>
      <w:spacing w:after="300"/>
    </w:pPr>
    <w:rPr>
      <w:rFonts w:asciiTheme="majorHAnsi" w:eastAsiaTheme="majorEastAsia" w:hAnsiTheme="majorHAnsi" w:cstheme="majorBidi"/>
      <w:color w:val="003E59" w:themeColor="text2" w:themeShade="BF"/>
      <w:spacing w:val="5"/>
      <w:kern w:val="28"/>
      <w:sz w:val="52"/>
      <w:szCs w:val="52"/>
    </w:rPr>
  </w:style>
  <w:style w:type="character" w:customStyle="1" w:styleId="TitelZchn">
    <w:name w:val="Titel Zchn"/>
    <w:basedOn w:val="Absatz-Standardschriftart"/>
    <w:link w:val="Titel"/>
    <w:uiPriority w:val="7"/>
    <w:rsid w:val="008D0079"/>
    <w:rPr>
      <w:rFonts w:asciiTheme="majorHAnsi" w:eastAsiaTheme="majorEastAsia" w:hAnsiTheme="majorHAnsi" w:cstheme="majorBidi"/>
      <w:color w:val="003E59" w:themeColor="text2" w:themeShade="BF"/>
      <w:spacing w:val="5"/>
      <w:kern w:val="28"/>
      <w:sz w:val="52"/>
      <w:szCs w:val="52"/>
    </w:rPr>
  </w:style>
  <w:style w:type="character" w:customStyle="1" w:styleId="berschrift4Zchn">
    <w:name w:val="Überschrift 4 Zchn"/>
    <w:basedOn w:val="Absatz-Standardschriftart"/>
    <w:link w:val="berschrift4"/>
    <w:uiPriority w:val="7"/>
    <w:rsid w:val="00785B7A"/>
    <w:rPr>
      <w:rFonts w:eastAsiaTheme="majorEastAsia" w:cstheme="majorBidi"/>
      <w:b/>
      <w:bCs/>
      <w:iCs/>
    </w:rPr>
  </w:style>
  <w:style w:type="character" w:customStyle="1" w:styleId="berschrift5Zchn">
    <w:name w:val="Überschrift 5 Zchn"/>
    <w:basedOn w:val="Absatz-Standardschriftart"/>
    <w:link w:val="berschrift5"/>
    <w:uiPriority w:val="7"/>
    <w:rsid w:val="00785B7A"/>
    <w:rPr>
      <w:rFonts w:eastAsiaTheme="majorEastAsia" w:cstheme="majorBidi"/>
      <w:b/>
      <w:color w:val="000000" w:themeColor="text1"/>
    </w:rPr>
  </w:style>
  <w:style w:type="character" w:customStyle="1" w:styleId="berschrift6Zchn">
    <w:name w:val="Überschrift 6 Zchn"/>
    <w:basedOn w:val="Absatz-Standardschriftart"/>
    <w:link w:val="berschrift6"/>
    <w:uiPriority w:val="7"/>
    <w:rsid w:val="008D0079"/>
    <w:rPr>
      <w:rFonts w:asciiTheme="majorHAnsi" w:eastAsiaTheme="majorEastAsia" w:hAnsiTheme="majorHAnsi" w:cstheme="majorBidi"/>
      <w:i/>
      <w:iCs/>
      <w:color w:val="00374E" w:themeColor="accent1" w:themeShade="7F"/>
    </w:rPr>
  </w:style>
  <w:style w:type="character" w:customStyle="1" w:styleId="berschrift7Zchn">
    <w:name w:val="Überschrift 7 Zchn"/>
    <w:basedOn w:val="Absatz-Standardschriftart"/>
    <w:link w:val="berschrift7"/>
    <w:uiPriority w:val="7"/>
    <w:rsid w:val="008D0079"/>
    <w:rPr>
      <w:rFonts w:asciiTheme="majorHAnsi" w:eastAsiaTheme="majorEastAsia" w:hAnsiTheme="majorHAnsi" w:cstheme="majorBidi"/>
      <w:i/>
      <w:iCs/>
      <w:color w:val="404040" w:themeColor="text1" w:themeTint="BF"/>
    </w:rPr>
  </w:style>
  <w:style w:type="paragraph" w:customStyle="1" w:styleId="Anstriche1">
    <w:name w:val="Anstriche1"/>
    <w:basedOn w:val="Anstriche"/>
    <w:link w:val="Anstriche1Zchn"/>
    <w:autoRedefine/>
    <w:uiPriority w:val="7"/>
    <w:rsid w:val="00193664"/>
  </w:style>
  <w:style w:type="character" w:customStyle="1" w:styleId="Anstriche1Zchn">
    <w:name w:val="Anstriche1 Zchn"/>
    <w:basedOn w:val="AnstricheZchn"/>
    <w:link w:val="Anstriche1"/>
    <w:uiPriority w:val="7"/>
    <w:rsid w:val="008D0079"/>
  </w:style>
  <w:style w:type="character" w:styleId="Kommentarzeichen">
    <w:name w:val="annotation reference"/>
    <w:basedOn w:val="Absatz-Standardschriftart"/>
    <w:uiPriority w:val="99"/>
    <w:semiHidden/>
    <w:unhideWhenUsed/>
    <w:rsid w:val="007E0C0C"/>
    <w:rPr>
      <w:sz w:val="16"/>
      <w:szCs w:val="16"/>
    </w:rPr>
  </w:style>
  <w:style w:type="paragraph" w:styleId="Kommentartext">
    <w:name w:val="annotation text"/>
    <w:basedOn w:val="Standard"/>
    <w:link w:val="KommentartextZchn"/>
    <w:uiPriority w:val="99"/>
    <w:semiHidden/>
    <w:unhideWhenUsed/>
    <w:rsid w:val="007E0C0C"/>
    <w:rPr>
      <w:sz w:val="20"/>
      <w:szCs w:val="20"/>
    </w:rPr>
  </w:style>
  <w:style w:type="character" w:customStyle="1" w:styleId="KommentartextZchn">
    <w:name w:val="Kommentartext Zchn"/>
    <w:basedOn w:val="Absatz-Standardschriftart"/>
    <w:link w:val="Kommentartext"/>
    <w:uiPriority w:val="99"/>
    <w:semiHidden/>
    <w:rsid w:val="007E0C0C"/>
    <w:rPr>
      <w:sz w:val="20"/>
      <w:szCs w:val="20"/>
    </w:rPr>
  </w:style>
  <w:style w:type="paragraph" w:styleId="Kommentarthema">
    <w:name w:val="annotation subject"/>
    <w:basedOn w:val="Kommentartext"/>
    <w:next w:val="Kommentartext"/>
    <w:link w:val="KommentarthemaZchn"/>
    <w:uiPriority w:val="7"/>
    <w:semiHidden/>
    <w:unhideWhenUsed/>
    <w:rsid w:val="007E0C0C"/>
    <w:rPr>
      <w:b/>
      <w:bCs/>
    </w:rPr>
  </w:style>
  <w:style w:type="character" w:customStyle="1" w:styleId="KommentarthemaZchn">
    <w:name w:val="Kommentarthema Zchn"/>
    <w:basedOn w:val="KommentartextZchn"/>
    <w:link w:val="Kommentarthema"/>
    <w:uiPriority w:val="7"/>
    <w:semiHidden/>
    <w:rsid w:val="007E0C0C"/>
    <w:rPr>
      <w:b/>
      <w:bCs/>
      <w:sz w:val="20"/>
      <w:szCs w:val="20"/>
    </w:rPr>
  </w:style>
  <w:style w:type="paragraph" w:styleId="Sprechblasentext">
    <w:name w:val="Balloon Text"/>
    <w:basedOn w:val="Standard"/>
    <w:link w:val="SprechblasentextZchn"/>
    <w:uiPriority w:val="7"/>
    <w:semiHidden/>
    <w:unhideWhenUsed/>
    <w:rsid w:val="007E0C0C"/>
    <w:rPr>
      <w:rFonts w:ascii="Tahoma" w:hAnsi="Tahoma" w:cs="Tahoma"/>
      <w:sz w:val="16"/>
      <w:szCs w:val="16"/>
    </w:rPr>
  </w:style>
  <w:style w:type="character" w:customStyle="1" w:styleId="SprechblasentextZchn">
    <w:name w:val="Sprechblasentext Zchn"/>
    <w:basedOn w:val="Absatz-Standardschriftart"/>
    <w:link w:val="Sprechblasentext"/>
    <w:uiPriority w:val="7"/>
    <w:semiHidden/>
    <w:rsid w:val="007E0C0C"/>
    <w:rPr>
      <w:rFonts w:ascii="Tahoma" w:hAnsi="Tahoma" w:cs="Tahoma"/>
      <w:sz w:val="16"/>
      <w:szCs w:val="16"/>
    </w:rPr>
  </w:style>
  <w:style w:type="paragraph" w:styleId="Dokumentstruktur">
    <w:name w:val="Document Map"/>
    <w:basedOn w:val="Standard"/>
    <w:link w:val="DokumentstrukturZchn"/>
    <w:uiPriority w:val="7"/>
    <w:semiHidden/>
    <w:unhideWhenUsed/>
    <w:rsid w:val="00E61504"/>
    <w:rPr>
      <w:rFonts w:ascii="Tahoma" w:hAnsi="Tahoma" w:cs="Tahoma"/>
      <w:sz w:val="16"/>
      <w:szCs w:val="16"/>
    </w:rPr>
  </w:style>
  <w:style w:type="character" w:customStyle="1" w:styleId="DokumentstrukturZchn">
    <w:name w:val="Dokumentstruktur Zchn"/>
    <w:basedOn w:val="Absatz-Standardschriftart"/>
    <w:link w:val="Dokumentstruktur"/>
    <w:uiPriority w:val="7"/>
    <w:semiHidden/>
    <w:rsid w:val="00E61504"/>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3179E7"/>
    <w:rPr>
      <w:color w:val="808080"/>
      <w:shd w:val="clear" w:color="auto" w:fill="E6E6E6"/>
    </w:rPr>
  </w:style>
  <w:style w:type="character" w:styleId="BesuchterLink">
    <w:name w:val="FollowedHyperlink"/>
    <w:basedOn w:val="Absatz-Standardschriftart"/>
    <w:uiPriority w:val="7"/>
    <w:semiHidden/>
    <w:unhideWhenUsed/>
    <w:rsid w:val="00AC72BC"/>
    <w:rPr>
      <w:color w:val="800080" w:themeColor="followedHyperlink"/>
      <w:u w:val="single"/>
    </w:rPr>
  </w:style>
  <w:style w:type="paragraph" w:styleId="berarbeitung">
    <w:name w:val="Revision"/>
    <w:hidden/>
    <w:uiPriority w:val="99"/>
    <w:semiHidden/>
    <w:rsid w:val="00462097"/>
  </w:style>
  <w:style w:type="character" w:styleId="NichtaufgelsteErwhnung">
    <w:name w:val="Unresolved Mention"/>
    <w:basedOn w:val="Absatz-Standardschriftart"/>
    <w:uiPriority w:val="99"/>
    <w:semiHidden/>
    <w:unhideWhenUsed/>
    <w:rsid w:val="00303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917588">
      <w:bodyDiv w:val="1"/>
      <w:marLeft w:val="0"/>
      <w:marRight w:val="0"/>
      <w:marTop w:val="0"/>
      <w:marBottom w:val="0"/>
      <w:divBdr>
        <w:top w:val="none" w:sz="0" w:space="0" w:color="auto"/>
        <w:left w:val="none" w:sz="0" w:space="0" w:color="auto"/>
        <w:bottom w:val="none" w:sz="0" w:space="0" w:color="auto"/>
        <w:right w:val="none" w:sz="0" w:space="0" w:color="auto"/>
      </w:divBdr>
    </w:div>
    <w:div w:id="983319660">
      <w:bodyDiv w:val="1"/>
      <w:marLeft w:val="0"/>
      <w:marRight w:val="0"/>
      <w:marTop w:val="0"/>
      <w:marBottom w:val="0"/>
      <w:divBdr>
        <w:top w:val="none" w:sz="0" w:space="0" w:color="auto"/>
        <w:left w:val="none" w:sz="0" w:space="0" w:color="auto"/>
        <w:bottom w:val="none" w:sz="0" w:space="0" w:color="auto"/>
        <w:right w:val="none" w:sz="0" w:space="0" w:color="auto"/>
      </w:divBdr>
    </w:div>
    <w:div w:id="1898937173">
      <w:bodyDiv w:val="1"/>
      <w:marLeft w:val="0"/>
      <w:marRight w:val="0"/>
      <w:marTop w:val="0"/>
      <w:marBottom w:val="0"/>
      <w:divBdr>
        <w:top w:val="none" w:sz="0" w:space="0" w:color="auto"/>
        <w:left w:val="none" w:sz="0" w:space="0" w:color="auto"/>
        <w:bottom w:val="none" w:sz="0" w:space="0" w:color="auto"/>
        <w:right w:val="none" w:sz="0" w:space="0" w:color="auto"/>
      </w:divBdr>
    </w:div>
    <w:div w:id="206367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s.bdew.de/lnk/AVUAADYcoDgAAcsFxOgAAAFIel0AAYCrlB8AJTGaAAh-MQBhB9WfNNrARKxjR-OfRH6nRFZisAAID-E/37/5Xu0HfxQF1-kA-paaHKnqQ/aHR0cDovL3d3dy5iZ2JsLmRlL3hhdmVyL2JnYmwvc3RhcnQueGF2P3N0YXJ0Yms9QnVuZGVzYW56ZWlnZXJfQkdCbCZqdW1wVG89YmdibDEyMXMzMDI2LnBkZg" TargetMode="External"/><Relationship Id="rId13" Type="http://schemas.openxmlformats.org/officeDocument/2006/relationships/hyperlink" Target="https://www.bundesnetzagentur.de/DE/Sachgebiete/ElektrizitaetundGas/Unternehmen_Institutionen/ErneuerbareEnergien/Datenerhebung_EEG/Datenerhebung_EEG-nod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tztransparenz.de/EEG/Umlageprivileg-fuer-Stromspeich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tztransparenz.de/EEG/Messen-und-Schaetz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undesnetzagentur.de/SharedDocs/Downloads/DE/Sachgebiete/Energie/Unternehmen_Institutionen/ErneuerbareEnergien/Hinweispapiere/Messen_Schaetzen.pdf?__blob=publicationFile&amp;v=2" TargetMode="External"/><Relationship Id="rId4" Type="http://schemas.openxmlformats.org/officeDocument/2006/relationships/settings" Target="settings.xml"/><Relationship Id="rId9" Type="http://schemas.openxmlformats.org/officeDocument/2006/relationships/hyperlink" Target="https://www.bundesnetzagentur.de/SharedDocs/Downloads/DE/Sachgebiete/Energie/Unternehmen_Institutionen/ErneuerbareEnergien/Evaluierungsbericht_Speicher.pdf?__blob=publicationFile&amp;v=3" TargetMode="Externa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stadtwerke leipzig">
      <a:dk1>
        <a:sysClr val="windowText" lastClr="000000"/>
      </a:dk1>
      <a:lt1>
        <a:sysClr val="window" lastClr="FFFFFF"/>
      </a:lt1>
      <a:dk2>
        <a:srgbClr val="005477"/>
      </a:dk2>
      <a:lt2>
        <a:srgbClr val="009EE3"/>
      </a:lt2>
      <a:accent1>
        <a:srgbClr val="006F9D"/>
      </a:accent1>
      <a:accent2>
        <a:srgbClr val="5BC5F2"/>
      </a:accent2>
      <a:accent3>
        <a:srgbClr val="A1D9F8"/>
      </a:accent3>
      <a:accent4>
        <a:srgbClr val="878786"/>
      </a:accent4>
      <a:accent5>
        <a:srgbClr val="B1B2B3"/>
      </a:accent5>
      <a:accent6>
        <a:srgbClr val="D9DADA"/>
      </a:accent6>
      <a:hlink>
        <a:srgbClr val="0000FF"/>
      </a:hlink>
      <a:folHlink>
        <a:srgbClr val="800080"/>
      </a:folHlink>
    </a:clrScheme>
    <a:fontScheme name="Benutzerdefiniert 1">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CEA02-EC5D-43DF-AC0D-528B3DB9E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2462</Words>
  <Characters>15513</Characters>
  <Application>Microsoft Office Word</Application>
  <DocSecurity>0</DocSecurity>
  <Lines>129</Lines>
  <Paragraphs>35</Paragraphs>
  <ScaleCrop>false</ScaleCrop>
  <Company/>
  <LinksUpToDate>false</LinksUpToDate>
  <CharactersWithSpaces>17940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2021-09-28T11:33:00Z</dcterms:created>
  <dcterms:modified xsi:type="dcterms:W3CDTF">2021-11-16T13:26:00Z</dcterms:modified>
</cp:coreProperties>
</file>